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07AF9" w14:textId="422C5C20" w:rsidR="00BD5F36" w:rsidRPr="00B60CCE" w:rsidRDefault="009B654A" w:rsidP="00BD5F36">
      <w:pPr>
        <w:rPr>
          <w:lang w:val="is-IS"/>
        </w:rPr>
      </w:pPr>
      <w:bookmarkStart w:id="0" w:name="_GoBack"/>
      <w:bookmarkEnd w:id="0"/>
      <w:r w:rsidRPr="009B654A">
        <w:rPr>
          <w:noProof/>
          <w:sz w:val="24"/>
          <w:szCs w:val="24"/>
          <w:lang w:eastAsia="en-GB"/>
        </w:rPr>
        <w:drawing>
          <wp:anchor distT="0" distB="0" distL="114300" distR="114300" simplePos="0" relativeHeight="251661824" behindDoc="0" locked="0" layoutInCell="1" allowOverlap="1" wp14:anchorId="67D2D8CA" wp14:editId="3AD71F54">
            <wp:simplePos x="0" y="0"/>
            <wp:positionH relativeFrom="margin">
              <wp:align>left</wp:align>
            </wp:positionH>
            <wp:positionV relativeFrom="paragraph">
              <wp:posOffset>-314960</wp:posOffset>
            </wp:positionV>
            <wp:extent cx="1076400" cy="1076400"/>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076400" cy="10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5F36" w:rsidRPr="00B60CCE">
        <w:rPr>
          <w:lang w:val="is-IS"/>
        </w:rPr>
        <w:tab/>
      </w:r>
      <w:r w:rsidR="00BD5F36" w:rsidRPr="00B60CCE">
        <w:rPr>
          <w:lang w:val="is-IS"/>
        </w:rPr>
        <w:tab/>
      </w:r>
      <w:r w:rsidR="00BD5F36" w:rsidRPr="00B60CCE">
        <w:rPr>
          <w:lang w:val="is-IS"/>
        </w:rPr>
        <w:tab/>
      </w:r>
    </w:p>
    <w:p w14:paraId="33D07AFA" w14:textId="77777777" w:rsidR="00BD5F36" w:rsidRPr="00B60CCE" w:rsidRDefault="00A11DC6" w:rsidP="00BD5F36">
      <w:pPr>
        <w:rPr>
          <w:lang w:val="is-IS"/>
        </w:rPr>
      </w:pPr>
      <w:r w:rsidRPr="00A11DC6">
        <w:rPr>
          <w:noProof/>
          <w:lang w:eastAsia="en-GB"/>
        </w:rPr>
        <w:drawing>
          <wp:anchor distT="0" distB="0" distL="114300" distR="114300" simplePos="0" relativeHeight="251659776" behindDoc="0" locked="0" layoutInCell="1" allowOverlap="1" wp14:anchorId="33D08284" wp14:editId="33D08285">
            <wp:simplePos x="0" y="0"/>
            <wp:positionH relativeFrom="margin">
              <wp:posOffset>2318385</wp:posOffset>
            </wp:positionH>
            <wp:positionV relativeFrom="paragraph">
              <wp:posOffset>-484505</wp:posOffset>
            </wp:positionV>
            <wp:extent cx="3060000" cy="1076400"/>
            <wp:effectExtent l="19050" t="19050" r="26670" b="9525"/>
            <wp:wrapNone/>
            <wp:docPr id="6" name="Picture 6" descr="C:\Users\gbj\OneDrive - Vegagerðin\Efnisrannsóknir - kröfur\Vinnan 2018-2019\forsíðumy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bj\OneDrive - Vegagerðin\Efnisrannsóknir - kröfur\Vinnan 2018-2019\forsíðumyn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0000" cy="10764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33D07AFB" w14:textId="77777777" w:rsidR="00BD5F36" w:rsidRPr="00B60CCE" w:rsidRDefault="00BD5F36" w:rsidP="00BD5F36">
      <w:pPr>
        <w:rPr>
          <w:lang w:val="is-IS"/>
        </w:rPr>
      </w:pPr>
    </w:p>
    <w:p w14:paraId="33D07AFC" w14:textId="77777777" w:rsidR="00BD5F36" w:rsidRPr="00B60CCE" w:rsidRDefault="00BD5F36" w:rsidP="00BD5F36">
      <w:pPr>
        <w:rPr>
          <w:lang w:val="is-IS"/>
        </w:rPr>
      </w:pPr>
    </w:p>
    <w:p w14:paraId="33D07AFD" w14:textId="77777777" w:rsidR="00BD5F36" w:rsidRPr="00B60CCE" w:rsidRDefault="00BD5F36" w:rsidP="00BD5F36">
      <w:pPr>
        <w:rPr>
          <w:lang w:val="is-IS"/>
        </w:rPr>
      </w:pPr>
    </w:p>
    <w:p w14:paraId="33D07AFE" w14:textId="77777777" w:rsidR="00A11DC6" w:rsidRDefault="00A11DC6" w:rsidP="00BD5F36">
      <w:pPr>
        <w:jc w:val="center"/>
        <w:rPr>
          <w:sz w:val="36"/>
          <w:szCs w:val="36"/>
          <w:lang w:val="is-IS"/>
        </w:rPr>
      </w:pPr>
    </w:p>
    <w:p w14:paraId="33D07AFF" w14:textId="77777777" w:rsidR="00A11DC6" w:rsidRDefault="00A11DC6" w:rsidP="00BD5F36">
      <w:pPr>
        <w:jc w:val="center"/>
        <w:rPr>
          <w:sz w:val="36"/>
          <w:szCs w:val="36"/>
          <w:lang w:val="is-IS"/>
        </w:rPr>
      </w:pPr>
    </w:p>
    <w:p w14:paraId="6651ED32" w14:textId="25768C38" w:rsidR="00C94057" w:rsidRDefault="00C94057" w:rsidP="00BD5F36">
      <w:pPr>
        <w:jc w:val="center"/>
        <w:rPr>
          <w:sz w:val="36"/>
          <w:szCs w:val="36"/>
          <w:lang w:val="is-IS"/>
        </w:rPr>
      </w:pPr>
      <w:r>
        <w:rPr>
          <w:sz w:val="36"/>
          <w:szCs w:val="36"/>
          <w:lang w:val="is-IS"/>
        </w:rPr>
        <w:t>Efnisgæðaritið</w:t>
      </w:r>
    </w:p>
    <w:p w14:paraId="5C0E73EA" w14:textId="77777777" w:rsidR="00C94057" w:rsidRDefault="00C94057" w:rsidP="00BD5F36">
      <w:pPr>
        <w:jc w:val="center"/>
        <w:rPr>
          <w:sz w:val="36"/>
          <w:szCs w:val="36"/>
          <w:lang w:val="is-IS"/>
        </w:rPr>
      </w:pPr>
    </w:p>
    <w:p w14:paraId="33D07B00" w14:textId="617B8E49" w:rsidR="00BD5F36" w:rsidRPr="00C94057" w:rsidRDefault="00BD5F36" w:rsidP="00BD5F36">
      <w:pPr>
        <w:jc w:val="center"/>
        <w:rPr>
          <w:sz w:val="32"/>
          <w:szCs w:val="32"/>
          <w:lang w:val="is-IS"/>
        </w:rPr>
      </w:pPr>
      <w:r w:rsidRPr="00C94057">
        <w:rPr>
          <w:sz w:val="32"/>
          <w:szCs w:val="32"/>
          <w:lang w:val="is-IS"/>
        </w:rPr>
        <w:t>Efnisrannsóknir og efniskröfur</w:t>
      </w:r>
    </w:p>
    <w:p w14:paraId="33D07B01" w14:textId="77777777" w:rsidR="00BD5F36" w:rsidRPr="00B60CCE" w:rsidRDefault="00BD5F36" w:rsidP="00BD5F36">
      <w:pPr>
        <w:rPr>
          <w:lang w:val="is-IS"/>
        </w:rPr>
      </w:pPr>
    </w:p>
    <w:p w14:paraId="33D07B02" w14:textId="77777777" w:rsidR="00BD5F36" w:rsidRPr="00B60CCE" w:rsidRDefault="00BD5F36" w:rsidP="00BD5F36">
      <w:pPr>
        <w:jc w:val="center"/>
        <w:rPr>
          <w:sz w:val="28"/>
          <w:szCs w:val="28"/>
          <w:lang w:val="is-IS"/>
        </w:rPr>
      </w:pPr>
      <w:r w:rsidRPr="00B60CCE">
        <w:rPr>
          <w:sz w:val="28"/>
          <w:szCs w:val="28"/>
          <w:lang w:val="is-IS"/>
        </w:rPr>
        <w:t>Leiðbeiningar við hönnun, framleiðslu og framkvæmd</w:t>
      </w:r>
    </w:p>
    <w:p w14:paraId="33D07B03" w14:textId="77777777" w:rsidR="00BD5F36" w:rsidRPr="00B60CCE" w:rsidRDefault="00BD5F36" w:rsidP="00BD5F36">
      <w:pPr>
        <w:rPr>
          <w:lang w:val="is-IS"/>
        </w:rPr>
      </w:pPr>
    </w:p>
    <w:p w14:paraId="33D07B04" w14:textId="77777777" w:rsidR="00BD5F36" w:rsidRPr="00B60CCE" w:rsidRDefault="00BD5F36" w:rsidP="00BD5F36">
      <w:pPr>
        <w:rPr>
          <w:lang w:val="is-IS"/>
        </w:rPr>
      </w:pPr>
    </w:p>
    <w:p w14:paraId="33D07B05" w14:textId="77777777" w:rsidR="00BD5F36" w:rsidRPr="00B60CCE" w:rsidRDefault="00BD5F36" w:rsidP="00F919FD">
      <w:pPr>
        <w:tabs>
          <w:tab w:val="left" w:pos="720"/>
          <w:tab w:val="left" w:pos="1440"/>
          <w:tab w:val="left" w:pos="2160"/>
          <w:tab w:val="left" w:pos="2835"/>
        </w:tabs>
        <w:rPr>
          <w:sz w:val="28"/>
          <w:lang w:val="is-IS"/>
        </w:rPr>
      </w:pPr>
      <w:r w:rsidRPr="00B60CCE">
        <w:rPr>
          <w:sz w:val="28"/>
          <w:lang w:val="is-IS"/>
        </w:rPr>
        <w:t>Kafli 1</w:t>
      </w:r>
      <w:r w:rsidRPr="00B60CCE">
        <w:rPr>
          <w:sz w:val="28"/>
          <w:lang w:val="is-IS"/>
        </w:rPr>
        <w:tab/>
        <w:t>Formáli</w:t>
      </w:r>
      <w:r w:rsidR="00F919FD">
        <w:rPr>
          <w:sz w:val="28"/>
          <w:lang w:val="is-IS"/>
        </w:rPr>
        <w:tab/>
      </w:r>
    </w:p>
    <w:p w14:paraId="33D07B06" w14:textId="77777777" w:rsidR="00BD5F36" w:rsidRPr="00B60CCE" w:rsidRDefault="00BD5F36" w:rsidP="00BD5F36">
      <w:pPr>
        <w:rPr>
          <w:sz w:val="28"/>
          <w:lang w:val="is-IS"/>
        </w:rPr>
      </w:pPr>
      <w:r w:rsidRPr="00B60CCE">
        <w:rPr>
          <w:sz w:val="28"/>
          <w:lang w:val="is-IS"/>
        </w:rPr>
        <w:t>Kafli 2</w:t>
      </w:r>
      <w:r w:rsidRPr="00B60CCE">
        <w:rPr>
          <w:sz w:val="28"/>
          <w:lang w:val="is-IS"/>
        </w:rPr>
        <w:tab/>
        <w:t>Inngangur</w:t>
      </w:r>
    </w:p>
    <w:p w14:paraId="33D07B07" w14:textId="77777777" w:rsidR="00BD5F36" w:rsidRPr="00B60CCE" w:rsidRDefault="00BD5F36" w:rsidP="00BD5F36">
      <w:pPr>
        <w:rPr>
          <w:sz w:val="28"/>
          <w:lang w:val="is-IS"/>
        </w:rPr>
      </w:pPr>
      <w:r w:rsidRPr="00B60CCE">
        <w:rPr>
          <w:sz w:val="28"/>
          <w:lang w:val="is-IS"/>
        </w:rPr>
        <w:t>Kafli 3</w:t>
      </w:r>
      <w:r w:rsidRPr="00B60CCE">
        <w:rPr>
          <w:sz w:val="28"/>
          <w:lang w:val="is-IS"/>
        </w:rPr>
        <w:tab/>
        <w:t>Fylling</w:t>
      </w:r>
    </w:p>
    <w:p w14:paraId="33D07B08" w14:textId="77777777" w:rsidR="00BD5F36" w:rsidRPr="00B60CCE" w:rsidRDefault="00BD5F36" w:rsidP="00BD5F36">
      <w:pPr>
        <w:rPr>
          <w:sz w:val="28"/>
          <w:lang w:val="is-IS"/>
        </w:rPr>
      </w:pPr>
      <w:r w:rsidRPr="00B60CCE">
        <w:rPr>
          <w:sz w:val="28"/>
          <w:lang w:val="is-IS"/>
        </w:rPr>
        <w:t>Kafli 4</w:t>
      </w:r>
      <w:r w:rsidRPr="00B60CCE">
        <w:rPr>
          <w:sz w:val="28"/>
          <w:lang w:val="is-IS"/>
        </w:rPr>
        <w:tab/>
        <w:t>Styrktarlag</w:t>
      </w:r>
    </w:p>
    <w:p w14:paraId="33D07B09" w14:textId="77777777" w:rsidR="00BD5F36" w:rsidRPr="00BD5F36" w:rsidRDefault="00BD5F36" w:rsidP="00BD5F36">
      <w:pPr>
        <w:rPr>
          <w:sz w:val="28"/>
          <w:szCs w:val="28"/>
          <w:lang w:val="is-IS"/>
        </w:rPr>
      </w:pPr>
      <w:r w:rsidRPr="00BD5F36">
        <w:rPr>
          <w:sz w:val="28"/>
          <w:szCs w:val="28"/>
          <w:lang w:val="is-IS"/>
        </w:rPr>
        <w:t>Kafli 5</w:t>
      </w:r>
      <w:r w:rsidRPr="00BD5F36">
        <w:rPr>
          <w:sz w:val="28"/>
          <w:szCs w:val="28"/>
          <w:lang w:val="is-IS"/>
        </w:rPr>
        <w:tab/>
        <w:t xml:space="preserve">Burðarlag </w:t>
      </w:r>
    </w:p>
    <w:p w14:paraId="33D07B0A" w14:textId="77777777" w:rsidR="00BD5F36" w:rsidRPr="00B60CCE" w:rsidRDefault="00BD5F36" w:rsidP="00BD5F36">
      <w:pPr>
        <w:rPr>
          <w:sz w:val="28"/>
          <w:lang w:val="is-IS"/>
        </w:rPr>
      </w:pPr>
      <w:r w:rsidRPr="00B60CCE">
        <w:rPr>
          <w:sz w:val="28"/>
          <w:lang w:val="is-IS"/>
        </w:rPr>
        <w:t>Kafli 6</w:t>
      </w:r>
      <w:r w:rsidRPr="00B60CCE">
        <w:rPr>
          <w:sz w:val="28"/>
          <w:lang w:val="is-IS"/>
        </w:rPr>
        <w:tab/>
        <w:t>Slitlag</w:t>
      </w:r>
    </w:p>
    <w:p w14:paraId="33D07B0B" w14:textId="77777777" w:rsidR="00BD5F36" w:rsidRPr="00B60CCE" w:rsidRDefault="00BD5F36" w:rsidP="00BD5F36">
      <w:pPr>
        <w:rPr>
          <w:sz w:val="28"/>
          <w:lang w:val="is-IS"/>
        </w:rPr>
      </w:pPr>
      <w:r w:rsidRPr="00B60CCE">
        <w:rPr>
          <w:sz w:val="28"/>
          <w:lang w:val="is-IS"/>
        </w:rPr>
        <w:t>Kafli 7</w:t>
      </w:r>
      <w:r w:rsidRPr="00B60CCE">
        <w:rPr>
          <w:sz w:val="28"/>
          <w:lang w:val="is-IS"/>
        </w:rPr>
        <w:tab/>
        <w:t>Steinsteypa</w:t>
      </w:r>
    </w:p>
    <w:p w14:paraId="33D07B0C" w14:textId="77777777" w:rsidR="00BD5F36" w:rsidRPr="00B60CCE" w:rsidRDefault="00BD5F36" w:rsidP="00BD5F36">
      <w:pPr>
        <w:rPr>
          <w:sz w:val="28"/>
          <w:lang w:val="is-IS"/>
        </w:rPr>
      </w:pPr>
    </w:p>
    <w:p w14:paraId="33D07B0D" w14:textId="77777777" w:rsidR="00BD5F36" w:rsidRPr="00B60CCE" w:rsidRDefault="00BD5F36" w:rsidP="00BD5F36">
      <w:pPr>
        <w:rPr>
          <w:sz w:val="28"/>
          <w:lang w:val="is-IS"/>
        </w:rPr>
      </w:pPr>
      <w:r w:rsidRPr="00B60CCE">
        <w:rPr>
          <w:sz w:val="28"/>
          <w:lang w:val="is-IS"/>
        </w:rPr>
        <w:t>Viðauki 1</w:t>
      </w:r>
      <w:r w:rsidRPr="00B60CCE">
        <w:rPr>
          <w:sz w:val="28"/>
          <w:lang w:val="is-IS"/>
        </w:rPr>
        <w:tab/>
        <w:t>Lýsing á prófunaraðferðum</w:t>
      </w:r>
    </w:p>
    <w:p w14:paraId="33D07B0E" w14:textId="77777777" w:rsidR="00BD5F36" w:rsidRPr="00B60CCE" w:rsidRDefault="006868A9" w:rsidP="00BD5F36">
      <w:pPr>
        <w:rPr>
          <w:sz w:val="28"/>
          <w:lang w:val="is-IS"/>
        </w:rPr>
      </w:pPr>
      <w:r>
        <w:rPr>
          <w:sz w:val="28"/>
          <w:lang w:val="is-IS"/>
        </w:rPr>
        <w:t>Viðauki 2</w:t>
      </w:r>
      <w:r>
        <w:rPr>
          <w:sz w:val="28"/>
          <w:lang w:val="is-IS"/>
        </w:rPr>
        <w:tab/>
        <w:t xml:space="preserve">Efnisgerðir </w:t>
      </w:r>
      <w:r w:rsidR="00BD5F36" w:rsidRPr="00B60CCE">
        <w:rPr>
          <w:sz w:val="28"/>
          <w:lang w:val="is-IS"/>
        </w:rPr>
        <w:t>við vega- og gatnagerð</w:t>
      </w:r>
    </w:p>
    <w:p w14:paraId="33D07B0F" w14:textId="77777777" w:rsidR="00BD5F36" w:rsidRPr="00B60CCE" w:rsidRDefault="00BD5F36" w:rsidP="00BD5F36">
      <w:pPr>
        <w:rPr>
          <w:sz w:val="28"/>
          <w:lang w:val="is-IS"/>
        </w:rPr>
      </w:pPr>
      <w:r w:rsidRPr="00B60CCE">
        <w:rPr>
          <w:sz w:val="28"/>
          <w:lang w:val="is-IS"/>
        </w:rPr>
        <w:t>Viðauki 3</w:t>
      </w:r>
      <w:r w:rsidRPr="00B60CCE">
        <w:rPr>
          <w:sz w:val="28"/>
          <w:lang w:val="is-IS"/>
        </w:rPr>
        <w:tab/>
        <w:t>Jarðmyndanir</w:t>
      </w:r>
      <w:r w:rsidR="006868A9">
        <w:rPr>
          <w:sz w:val="28"/>
          <w:lang w:val="is-IS"/>
        </w:rPr>
        <w:t xml:space="preserve"> – </w:t>
      </w:r>
      <w:r w:rsidR="008946B9">
        <w:rPr>
          <w:sz w:val="28"/>
          <w:lang w:val="is-IS"/>
        </w:rPr>
        <w:t>byggingarefni við</w:t>
      </w:r>
      <w:r w:rsidRPr="00B60CCE">
        <w:rPr>
          <w:sz w:val="28"/>
          <w:lang w:val="is-IS"/>
        </w:rPr>
        <w:t xml:space="preserve"> vegagerð</w:t>
      </w:r>
    </w:p>
    <w:p w14:paraId="33D07B10" w14:textId="77777777" w:rsidR="00BD5F36" w:rsidRPr="00B60CCE" w:rsidRDefault="00BD5F36" w:rsidP="00BD5F36">
      <w:pPr>
        <w:rPr>
          <w:sz w:val="28"/>
          <w:lang w:val="is-IS"/>
        </w:rPr>
      </w:pPr>
      <w:r w:rsidRPr="00B60CCE">
        <w:rPr>
          <w:sz w:val="28"/>
          <w:lang w:val="is-IS"/>
        </w:rPr>
        <w:t>Viðauki 4</w:t>
      </w:r>
      <w:r w:rsidRPr="00B60CCE">
        <w:rPr>
          <w:sz w:val="28"/>
          <w:lang w:val="is-IS"/>
        </w:rPr>
        <w:tab/>
      </w:r>
      <w:r>
        <w:rPr>
          <w:sz w:val="28"/>
          <w:lang w:val="is-IS"/>
        </w:rPr>
        <w:t xml:space="preserve">Gerðarprófanir, framleiðslueftirlit og </w:t>
      </w:r>
      <w:r w:rsidRPr="00B60CCE">
        <w:rPr>
          <w:sz w:val="28"/>
          <w:lang w:val="is-IS"/>
        </w:rPr>
        <w:t>frávikskröfur</w:t>
      </w:r>
    </w:p>
    <w:p w14:paraId="33D07B11" w14:textId="77777777" w:rsidR="00BD5F36" w:rsidRPr="00B60CCE" w:rsidRDefault="00BD5F36" w:rsidP="00BD5F36">
      <w:pPr>
        <w:rPr>
          <w:sz w:val="28"/>
          <w:lang w:val="is-IS"/>
        </w:rPr>
      </w:pPr>
      <w:r w:rsidRPr="00B60CCE">
        <w:rPr>
          <w:sz w:val="28"/>
          <w:lang w:val="is-IS"/>
        </w:rPr>
        <w:t>Viðauki 5</w:t>
      </w:r>
      <w:r w:rsidRPr="00B60CCE">
        <w:rPr>
          <w:sz w:val="28"/>
          <w:lang w:val="is-IS"/>
        </w:rPr>
        <w:tab/>
        <w:t>Sýnataka</w:t>
      </w:r>
    </w:p>
    <w:p w14:paraId="33D07B12" w14:textId="77777777" w:rsidR="00BD5F36" w:rsidRPr="00B60CCE" w:rsidRDefault="00BD5F36" w:rsidP="00BD5F36">
      <w:pPr>
        <w:rPr>
          <w:sz w:val="28"/>
          <w:lang w:val="is-IS"/>
        </w:rPr>
      </w:pPr>
      <w:r w:rsidRPr="00B60CCE">
        <w:rPr>
          <w:sz w:val="28"/>
          <w:lang w:val="is-IS"/>
        </w:rPr>
        <w:t>Viðauki 6</w:t>
      </w:r>
      <w:r w:rsidRPr="00B60CCE">
        <w:rPr>
          <w:sz w:val="28"/>
          <w:lang w:val="is-IS"/>
        </w:rPr>
        <w:tab/>
        <w:t>Vinnsluaðferðir</w:t>
      </w:r>
    </w:p>
    <w:p w14:paraId="33D07B13" w14:textId="77777777" w:rsidR="00BD5F36" w:rsidRPr="00B60CCE" w:rsidRDefault="00BD5F36" w:rsidP="00BD5F36">
      <w:pPr>
        <w:rPr>
          <w:sz w:val="28"/>
          <w:lang w:val="is-IS"/>
        </w:rPr>
      </w:pPr>
      <w:r w:rsidRPr="00B60CCE">
        <w:rPr>
          <w:sz w:val="28"/>
          <w:lang w:val="is-IS"/>
        </w:rPr>
        <w:t>Viðauki 7</w:t>
      </w:r>
      <w:r w:rsidRPr="00B60CCE">
        <w:rPr>
          <w:sz w:val="28"/>
          <w:lang w:val="is-IS"/>
        </w:rPr>
        <w:tab/>
        <w:t>Orðalisti – skilgreiningar og skýringar</w:t>
      </w:r>
    </w:p>
    <w:p w14:paraId="33D07B14" w14:textId="33484F8D" w:rsidR="00BD5F36" w:rsidRPr="00F86F17" w:rsidRDefault="00BD5F36" w:rsidP="00BD5F36">
      <w:pPr>
        <w:rPr>
          <w:b/>
          <w:i/>
          <w:color w:val="FF0000"/>
          <w:sz w:val="28"/>
          <w:szCs w:val="28"/>
          <w:lang w:val="is-IS"/>
        </w:rPr>
      </w:pPr>
      <w:r w:rsidRPr="00F86F17">
        <w:rPr>
          <w:b/>
          <w:i/>
          <w:color w:val="FF0000"/>
          <w:sz w:val="28"/>
          <w:lang w:val="is-IS"/>
        </w:rPr>
        <w:t>Viðauki 8</w:t>
      </w:r>
      <w:r w:rsidRPr="00F86F17">
        <w:rPr>
          <w:b/>
          <w:i/>
          <w:color w:val="FF0000"/>
          <w:sz w:val="28"/>
          <w:lang w:val="is-IS"/>
        </w:rPr>
        <w:tab/>
        <w:t xml:space="preserve">Ýtarefni um malbik </w:t>
      </w:r>
      <w:r w:rsidR="004176AD">
        <w:rPr>
          <w:b/>
          <w:i/>
          <w:color w:val="FF0000"/>
          <w:sz w:val="28"/>
          <w:szCs w:val="28"/>
          <w:lang w:val="is-IS"/>
        </w:rPr>
        <w:t>(janúar 20</w:t>
      </w:r>
      <w:r w:rsidR="009531BA">
        <w:rPr>
          <w:b/>
          <w:i/>
          <w:color w:val="FF0000"/>
          <w:sz w:val="28"/>
          <w:szCs w:val="28"/>
          <w:lang w:val="is-IS"/>
        </w:rPr>
        <w:t>2</w:t>
      </w:r>
      <w:r w:rsidR="00E450AA">
        <w:rPr>
          <w:b/>
          <w:i/>
          <w:color w:val="FF0000"/>
          <w:sz w:val="28"/>
          <w:szCs w:val="28"/>
          <w:lang w:val="is-IS"/>
        </w:rPr>
        <w:t>1</w:t>
      </w:r>
      <w:r w:rsidRPr="00F86F17">
        <w:rPr>
          <w:b/>
          <w:i/>
          <w:color w:val="FF0000"/>
          <w:sz w:val="28"/>
          <w:szCs w:val="28"/>
          <w:lang w:val="is-IS"/>
        </w:rPr>
        <w:t>)</w:t>
      </w:r>
    </w:p>
    <w:p w14:paraId="33D07B15" w14:textId="77777777" w:rsidR="00FD4B1A" w:rsidRDefault="00FD4B1A" w:rsidP="00BD5F36">
      <w:pPr>
        <w:rPr>
          <w:sz w:val="28"/>
        </w:rPr>
      </w:pPr>
      <w:r w:rsidRPr="00603FC4">
        <w:rPr>
          <w:sz w:val="28"/>
        </w:rPr>
        <w:t>Viðauki 9</w:t>
      </w:r>
      <w:r w:rsidRPr="00603FC4">
        <w:rPr>
          <w:sz w:val="28"/>
        </w:rPr>
        <w:tab/>
        <w:t>Samanburður á eiginleikum steinefna og kröfum</w:t>
      </w:r>
    </w:p>
    <w:p w14:paraId="33D07B16" w14:textId="77777777" w:rsidR="009B0817" w:rsidRPr="00204F11" w:rsidRDefault="009B0817" w:rsidP="00BD5F36">
      <w:pPr>
        <w:rPr>
          <w:sz w:val="28"/>
          <w:lang w:val="is-IS"/>
        </w:rPr>
      </w:pPr>
      <w:r w:rsidRPr="00204F11">
        <w:rPr>
          <w:sz w:val="28"/>
          <w:szCs w:val="24"/>
        </w:rPr>
        <w:t>Viðauki 10</w:t>
      </w:r>
      <w:r w:rsidR="00204F11">
        <w:rPr>
          <w:sz w:val="28"/>
          <w:szCs w:val="24"/>
        </w:rPr>
        <w:tab/>
      </w:r>
      <w:r w:rsidRPr="00204F11">
        <w:rPr>
          <w:sz w:val="28"/>
          <w:szCs w:val="24"/>
        </w:rPr>
        <w:t>Berggreining og gæðaflokkun</w:t>
      </w:r>
    </w:p>
    <w:p w14:paraId="33D07B17" w14:textId="77777777" w:rsidR="00BD5F36" w:rsidRPr="00B60CCE" w:rsidRDefault="00BD5F36" w:rsidP="00BD5F36">
      <w:pPr>
        <w:rPr>
          <w:sz w:val="28"/>
          <w:lang w:val="is-IS"/>
        </w:rPr>
      </w:pPr>
    </w:p>
    <w:p w14:paraId="33D07B18" w14:textId="77777777" w:rsidR="00BD5F36" w:rsidRPr="00B60CCE" w:rsidRDefault="00BD5F36" w:rsidP="00BD5F36">
      <w:pPr>
        <w:rPr>
          <w:sz w:val="28"/>
          <w:lang w:val="is-IS"/>
        </w:rPr>
      </w:pPr>
    </w:p>
    <w:p w14:paraId="33D07B19" w14:textId="77777777" w:rsidR="00BD5F36" w:rsidRPr="00B60CCE" w:rsidRDefault="00BD5F36" w:rsidP="00BD5F36">
      <w:pPr>
        <w:rPr>
          <w:sz w:val="28"/>
          <w:lang w:val="is-IS"/>
        </w:rPr>
      </w:pPr>
    </w:p>
    <w:p w14:paraId="33D07B1A" w14:textId="77777777" w:rsidR="00BD5F36" w:rsidRPr="00B60CCE" w:rsidRDefault="00BD5F36" w:rsidP="00BD5F36">
      <w:pPr>
        <w:rPr>
          <w:sz w:val="28"/>
          <w:lang w:val="is-IS"/>
        </w:rPr>
      </w:pPr>
      <w:r w:rsidRPr="00B60CCE">
        <w:rPr>
          <w:lang w:val="is-IS"/>
        </w:rPr>
        <w:object w:dxaOrig="6615" w:dyaOrig="2175" w14:anchorId="33D08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5pt;height:137.6pt" o:ole="" o:bordertopcolor="this" o:borderleftcolor="this" o:borderbottomcolor="this" o:borderrightcolor="this" o:allowoverlap="f">
            <v:imagedata r:id="rId10" o:title=""/>
            <w10:bordertop type="single" width="8"/>
            <w10:borderleft type="single" width="8"/>
            <w10:borderbottom type="single" width="8"/>
            <w10:borderright type="single" width="8"/>
          </v:shape>
          <o:OLEObject Type="Embed" ProgID="SDPhotoEdit.Document" ShapeID="_x0000_i1025" DrawAspect="Content" ObjectID="_1663758590" r:id="rId11"/>
        </w:object>
      </w:r>
    </w:p>
    <w:p w14:paraId="33D07B1B" w14:textId="77777777" w:rsidR="007D16F1" w:rsidRDefault="007D16F1">
      <w:pPr>
        <w:rPr>
          <w:lang w:val="is-IS"/>
        </w:rPr>
      </w:pPr>
    </w:p>
    <w:p w14:paraId="33D07B1C" w14:textId="77777777" w:rsidR="007C00F4" w:rsidRDefault="007C00F4">
      <w:pPr>
        <w:rPr>
          <w:lang w:val="is-IS"/>
        </w:rPr>
      </w:pPr>
    </w:p>
    <w:p w14:paraId="33D07B1D" w14:textId="77777777" w:rsidR="007C00F4" w:rsidRDefault="007C00F4">
      <w:pPr>
        <w:rPr>
          <w:lang w:val="is-IS"/>
        </w:rPr>
      </w:pPr>
    </w:p>
    <w:p w14:paraId="33D07B1E" w14:textId="77777777" w:rsidR="007C00F4" w:rsidRDefault="007C00F4">
      <w:pPr>
        <w:rPr>
          <w:lang w:val="is-IS"/>
        </w:rPr>
      </w:pPr>
    </w:p>
    <w:p w14:paraId="33D07B1F" w14:textId="77777777" w:rsidR="00BD5F36" w:rsidRDefault="00BD5F36" w:rsidP="007C00F4">
      <w:pPr>
        <w:jc w:val="center"/>
        <w:rPr>
          <w:b/>
          <w:sz w:val="32"/>
          <w:szCs w:val="32"/>
          <w:lang w:val="is-IS"/>
        </w:rPr>
      </w:pPr>
    </w:p>
    <w:p w14:paraId="33D07B20" w14:textId="3C8EAEC9" w:rsidR="007C00F4" w:rsidRPr="007C00F4" w:rsidRDefault="007C00F4" w:rsidP="007C00F4">
      <w:pPr>
        <w:jc w:val="center"/>
        <w:rPr>
          <w:b/>
          <w:sz w:val="32"/>
          <w:szCs w:val="32"/>
          <w:lang w:val="is-IS"/>
        </w:rPr>
      </w:pPr>
      <w:r w:rsidRPr="007C00F4">
        <w:rPr>
          <w:b/>
          <w:sz w:val="32"/>
          <w:szCs w:val="32"/>
          <w:lang w:val="is-IS"/>
        </w:rPr>
        <w:t xml:space="preserve">Viðauki 8: </w:t>
      </w:r>
      <w:r w:rsidR="004251E5">
        <w:rPr>
          <w:b/>
          <w:sz w:val="32"/>
          <w:szCs w:val="32"/>
          <w:lang w:val="is-IS"/>
        </w:rPr>
        <w:t>Ý</w:t>
      </w:r>
      <w:r w:rsidRPr="007C00F4">
        <w:rPr>
          <w:b/>
          <w:sz w:val="32"/>
          <w:szCs w:val="32"/>
          <w:lang w:val="is-IS"/>
        </w:rPr>
        <w:t>tarefni um malbik</w:t>
      </w:r>
    </w:p>
    <w:p w14:paraId="33D07B21" w14:textId="77777777" w:rsidR="00C8396B" w:rsidRDefault="00C8396B" w:rsidP="006868A9">
      <w:pPr>
        <w:rPr>
          <w:color w:val="FF0000"/>
          <w:sz w:val="24"/>
          <w:szCs w:val="24"/>
          <w:lang w:val="is-IS"/>
        </w:rPr>
      </w:pPr>
    </w:p>
    <w:p w14:paraId="33D07B22" w14:textId="0C929C91" w:rsidR="00F74C0A" w:rsidRPr="00F74C0A" w:rsidRDefault="00F74C0A" w:rsidP="006868A9">
      <w:pPr>
        <w:jc w:val="both"/>
        <w:rPr>
          <w:b/>
          <w:color w:val="FF0000"/>
          <w:sz w:val="32"/>
          <w:szCs w:val="32"/>
          <w:lang w:val="is-IS"/>
        </w:rPr>
      </w:pPr>
      <w:r w:rsidRPr="00F74C0A">
        <w:rPr>
          <w:b/>
          <w:color w:val="FF0000"/>
          <w:sz w:val="32"/>
          <w:szCs w:val="32"/>
          <w:lang w:val="is-IS"/>
        </w:rPr>
        <w:t>F</w:t>
      </w:r>
      <w:r w:rsidR="006D4810">
        <w:rPr>
          <w:b/>
          <w:color w:val="FF0000"/>
          <w:sz w:val="32"/>
          <w:szCs w:val="32"/>
          <w:lang w:val="is-IS"/>
        </w:rPr>
        <w:t>rá</w:t>
      </w:r>
      <w:r w:rsidRPr="00F74C0A">
        <w:rPr>
          <w:b/>
          <w:color w:val="FF0000"/>
          <w:sz w:val="32"/>
          <w:szCs w:val="32"/>
          <w:lang w:val="is-IS"/>
        </w:rPr>
        <w:t xml:space="preserve"> ritstjórn Efnisgæðarits</w:t>
      </w:r>
      <w:r w:rsidR="004251E5">
        <w:rPr>
          <w:b/>
          <w:color w:val="FF0000"/>
          <w:sz w:val="32"/>
          <w:szCs w:val="32"/>
          <w:lang w:val="is-IS"/>
        </w:rPr>
        <w:t>ins</w:t>
      </w:r>
      <w:r w:rsidRPr="00F74C0A">
        <w:rPr>
          <w:b/>
          <w:color w:val="FF0000"/>
          <w:sz w:val="32"/>
          <w:szCs w:val="32"/>
          <w:lang w:val="is-IS"/>
        </w:rPr>
        <w:t>:</w:t>
      </w:r>
    </w:p>
    <w:p w14:paraId="33D07B23" w14:textId="77777777" w:rsidR="00F74C0A" w:rsidRDefault="00F74C0A" w:rsidP="006868A9">
      <w:pPr>
        <w:jc w:val="both"/>
        <w:rPr>
          <w:color w:val="FF0000"/>
          <w:sz w:val="32"/>
          <w:szCs w:val="32"/>
          <w:lang w:val="is-IS"/>
        </w:rPr>
      </w:pPr>
    </w:p>
    <w:p w14:paraId="33D07B24" w14:textId="137BD87B" w:rsidR="00E81FC3" w:rsidRPr="00F74C0A" w:rsidRDefault="00C8396B" w:rsidP="006868A9">
      <w:pPr>
        <w:jc w:val="both"/>
        <w:rPr>
          <w:color w:val="FF0000"/>
          <w:sz w:val="32"/>
          <w:szCs w:val="32"/>
          <w:lang w:val="is-IS"/>
        </w:rPr>
      </w:pPr>
      <w:r w:rsidRPr="00F74C0A">
        <w:rPr>
          <w:color w:val="FF0000"/>
          <w:sz w:val="32"/>
          <w:szCs w:val="32"/>
          <w:lang w:val="is-IS"/>
        </w:rPr>
        <w:t>Í þessum viðauka</w:t>
      </w:r>
      <w:r w:rsidR="0020501C" w:rsidRPr="00F74C0A">
        <w:rPr>
          <w:color w:val="FF0000"/>
          <w:sz w:val="32"/>
          <w:szCs w:val="32"/>
          <w:lang w:val="is-IS"/>
        </w:rPr>
        <w:t xml:space="preserve"> er</w:t>
      </w:r>
      <w:r w:rsidRPr="00F74C0A">
        <w:rPr>
          <w:color w:val="FF0000"/>
          <w:sz w:val="32"/>
          <w:szCs w:val="32"/>
          <w:lang w:val="is-IS"/>
        </w:rPr>
        <w:t xml:space="preserve"> birtur ýmis fróðleikur</w:t>
      </w:r>
      <w:r w:rsidR="0020501C" w:rsidRPr="00F74C0A">
        <w:rPr>
          <w:color w:val="FF0000"/>
          <w:sz w:val="32"/>
          <w:szCs w:val="32"/>
          <w:lang w:val="is-IS"/>
        </w:rPr>
        <w:t xml:space="preserve"> um malbik</w:t>
      </w:r>
      <w:r w:rsidRPr="00F74C0A">
        <w:rPr>
          <w:color w:val="FF0000"/>
          <w:sz w:val="32"/>
          <w:szCs w:val="32"/>
          <w:lang w:val="is-IS"/>
        </w:rPr>
        <w:t xml:space="preserve"> sem tekinn var saman</w:t>
      </w:r>
      <w:r w:rsidR="00C23ADF" w:rsidRPr="00F74C0A">
        <w:rPr>
          <w:color w:val="FF0000"/>
          <w:sz w:val="32"/>
          <w:szCs w:val="32"/>
          <w:lang w:val="is-IS"/>
        </w:rPr>
        <w:t xml:space="preserve"> á árunum </w:t>
      </w:r>
      <w:r w:rsidR="00C23ADF" w:rsidRPr="00F74C0A">
        <w:rPr>
          <w:b/>
          <w:color w:val="FF0000"/>
          <w:sz w:val="32"/>
          <w:szCs w:val="32"/>
          <w:lang w:val="is-IS"/>
        </w:rPr>
        <w:t>2006-2007</w:t>
      </w:r>
      <w:r w:rsidRPr="00F74C0A">
        <w:rPr>
          <w:b/>
          <w:color w:val="FF0000"/>
          <w:sz w:val="32"/>
          <w:szCs w:val="32"/>
          <w:lang w:val="is-IS"/>
        </w:rPr>
        <w:t xml:space="preserve"> </w:t>
      </w:r>
      <w:r w:rsidRPr="00F74C0A">
        <w:rPr>
          <w:color w:val="FF0000"/>
          <w:sz w:val="32"/>
          <w:szCs w:val="32"/>
          <w:lang w:val="is-IS"/>
        </w:rPr>
        <w:t xml:space="preserve">þegar </w:t>
      </w:r>
      <w:r w:rsidR="00C23ADF" w:rsidRPr="00F74C0A">
        <w:rPr>
          <w:color w:val="FF0000"/>
          <w:sz w:val="32"/>
          <w:szCs w:val="32"/>
          <w:lang w:val="is-IS"/>
        </w:rPr>
        <w:t>unnið var að kaflanum um malbik í kafla 6 um slitlög</w:t>
      </w:r>
      <w:r w:rsidR="0008290B">
        <w:rPr>
          <w:color w:val="FF0000"/>
          <w:sz w:val="32"/>
          <w:szCs w:val="32"/>
          <w:lang w:val="is-IS"/>
        </w:rPr>
        <w:t xml:space="preserve"> í Efnisgæðaritinu</w:t>
      </w:r>
      <w:r w:rsidR="00C23ADF" w:rsidRPr="00F74C0A">
        <w:rPr>
          <w:color w:val="FF0000"/>
          <w:sz w:val="32"/>
          <w:szCs w:val="32"/>
          <w:lang w:val="is-IS"/>
        </w:rPr>
        <w:t>. Uppistaðan eru minnisblöð sem samin voru af Ásbirni Jóhannessyni verkfræðingi á Nýsköpunarmiðstöð Íslands og var efni malbikskaflans að hluta til unnið upp úr minnisblöðunum.</w:t>
      </w:r>
      <w:r w:rsidR="0020501C" w:rsidRPr="00F74C0A">
        <w:rPr>
          <w:color w:val="FF0000"/>
          <w:sz w:val="32"/>
          <w:szCs w:val="32"/>
          <w:lang w:val="is-IS"/>
        </w:rPr>
        <w:t xml:space="preserve"> Minnisblöðin gera viðfangsefninu mun ýtarlegri skil en ástæða þótti til að gera í kaflanum um malbik og því </w:t>
      </w:r>
      <w:r w:rsidR="0008290B">
        <w:rPr>
          <w:color w:val="FF0000"/>
          <w:sz w:val="32"/>
          <w:szCs w:val="32"/>
          <w:lang w:val="is-IS"/>
        </w:rPr>
        <w:t>þótti</w:t>
      </w:r>
      <w:r w:rsidR="0008290B" w:rsidRPr="00F74C0A">
        <w:rPr>
          <w:color w:val="FF0000"/>
          <w:sz w:val="32"/>
          <w:szCs w:val="32"/>
          <w:lang w:val="is-IS"/>
        </w:rPr>
        <w:t xml:space="preserve"> </w:t>
      </w:r>
      <w:r w:rsidR="0020501C" w:rsidRPr="00F74C0A">
        <w:rPr>
          <w:color w:val="FF0000"/>
          <w:sz w:val="32"/>
          <w:szCs w:val="32"/>
          <w:lang w:val="is-IS"/>
        </w:rPr>
        <w:t xml:space="preserve">rétt að birta þau </w:t>
      </w:r>
      <w:r w:rsidR="00946DD5">
        <w:rPr>
          <w:color w:val="FF0000"/>
          <w:sz w:val="32"/>
          <w:szCs w:val="32"/>
          <w:lang w:val="is-IS"/>
        </w:rPr>
        <w:t>að hluta til</w:t>
      </w:r>
      <w:r w:rsidR="0020501C" w:rsidRPr="00F74C0A">
        <w:rPr>
          <w:color w:val="FF0000"/>
          <w:sz w:val="32"/>
          <w:szCs w:val="32"/>
          <w:lang w:val="is-IS"/>
        </w:rPr>
        <w:t xml:space="preserve"> í þessum viðauka.</w:t>
      </w:r>
      <w:r w:rsidR="00C23ADF" w:rsidRPr="00F74C0A">
        <w:rPr>
          <w:color w:val="FF0000"/>
          <w:sz w:val="32"/>
          <w:szCs w:val="32"/>
          <w:lang w:val="is-IS"/>
        </w:rPr>
        <w:t xml:space="preserve"> Yfirgripsmiklar rannsóknir hafa verið framkvæmdar bæði hér á landi og erlendis frá því minnisblöðin voru skrifuð</w:t>
      </w:r>
      <w:r w:rsidR="006868A9" w:rsidRPr="00F74C0A">
        <w:rPr>
          <w:color w:val="FF0000"/>
          <w:sz w:val="32"/>
          <w:szCs w:val="32"/>
          <w:lang w:val="is-IS"/>
        </w:rPr>
        <w:t>. Auk þess voru gefnir út Evrópustaðlar 2008, sem meðal annars kölluðu á nýjar prófunaraðferðir sem nú hafa verið innleiddar hérlendis, svo sem hjólfarpróf og Prall slitþolspróf.</w:t>
      </w:r>
      <w:r w:rsidR="001D372D">
        <w:rPr>
          <w:color w:val="FF0000"/>
          <w:sz w:val="32"/>
          <w:szCs w:val="32"/>
          <w:lang w:val="is-IS"/>
        </w:rPr>
        <w:t xml:space="preserve"> Einnig voru í sérstökum Evrópustöðlum settar fram kröfur um gerðarprófanir og framleiðslueftirlit sem framleiðendum ber að uppfylla.</w:t>
      </w:r>
      <w:r w:rsidR="006868A9" w:rsidRPr="00F74C0A">
        <w:rPr>
          <w:color w:val="FF0000"/>
          <w:sz w:val="32"/>
          <w:szCs w:val="32"/>
          <w:lang w:val="is-IS"/>
        </w:rPr>
        <w:t xml:space="preserve"> Því</w:t>
      </w:r>
      <w:r w:rsidR="00C23ADF" w:rsidRPr="00F74C0A">
        <w:rPr>
          <w:color w:val="FF0000"/>
          <w:sz w:val="32"/>
          <w:szCs w:val="32"/>
          <w:lang w:val="is-IS"/>
        </w:rPr>
        <w:t xml:space="preserve"> hafa umtalsverðar breytingar verið gerðar á malbikskaflanum til samræmis við niðurstöður rannsóknanna</w:t>
      </w:r>
      <w:r w:rsidR="006868A9" w:rsidRPr="00F74C0A">
        <w:rPr>
          <w:color w:val="FF0000"/>
          <w:sz w:val="32"/>
          <w:szCs w:val="32"/>
          <w:lang w:val="is-IS"/>
        </w:rPr>
        <w:t xml:space="preserve"> og staðla</w:t>
      </w:r>
      <w:r w:rsidR="00C23ADF" w:rsidRPr="00F74C0A">
        <w:rPr>
          <w:color w:val="FF0000"/>
          <w:sz w:val="32"/>
          <w:szCs w:val="32"/>
          <w:lang w:val="is-IS"/>
        </w:rPr>
        <w:t>.</w:t>
      </w:r>
      <w:r w:rsidR="0008290B">
        <w:rPr>
          <w:color w:val="FF0000"/>
          <w:sz w:val="32"/>
          <w:szCs w:val="32"/>
          <w:lang w:val="is-IS"/>
        </w:rPr>
        <w:t xml:space="preserve"> Í endurskoðun á Efnisgæðaritinu í heild sinni nú um áramótin 20</w:t>
      </w:r>
      <w:r w:rsidR="008D48EA">
        <w:rPr>
          <w:color w:val="FF0000"/>
          <w:sz w:val="32"/>
          <w:szCs w:val="32"/>
          <w:lang w:val="is-IS"/>
        </w:rPr>
        <w:t>20</w:t>
      </w:r>
      <w:r w:rsidR="0008290B">
        <w:rPr>
          <w:color w:val="FF0000"/>
          <w:sz w:val="32"/>
          <w:szCs w:val="32"/>
          <w:lang w:val="is-IS"/>
        </w:rPr>
        <w:t>/202</w:t>
      </w:r>
      <w:r w:rsidR="008D48EA">
        <w:rPr>
          <w:color w:val="FF0000"/>
          <w:sz w:val="32"/>
          <w:szCs w:val="32"/>
          <w:lang w:val="is-IS"/>
        </w:rPr>
        <w:t>1</w:t>
      </w:r>
      <w:r w:rsidR="0008290B">
        <w:rPr>
          <w:color w:val="FF0000"/>
          <w:sz w:val="32"/>
          <w:szCs w:val="32"/>
          <w:lang w:val="is-IS"/>
        </w:rPr>
        <w:t xml:space="preserve"> ákvað ritnefndin að fara yfir þennan viðauka og gera breytingar á einstökum köflum eftir þörfum</w:t>
      </w:r>
      <w:r w:rsidR="0000703D">
        <w:rPr>
          <w:color w:val="FF0000"/>
          <w:sz w:val="32"/>
          <w:szCs w:val="32"/>
          <w:lang w:val="is-IS"/>
        </w:rPr>
        <w:t>. Í</w:t>
      </w:r>
      <w:r w:rsidR="0008290B">
        <w:rPr>
          <w:color w:val="FF0000"/>
          <w:sz w:val="32"/>
          <w:szCs w:val="32"/>
          <w:lang w:val="is-IS"/>
        </w:rPr>
        <w:t xml:space="preserve"> ljósi þeirra rannsókna, prófana og staðla sem </w:t>
      </w:r>
      <w:r w:rsidR="0000703D">
        <w:rPr>
          <w:color w:val="FF0000"/>
          <w:sz w:val="32"/>
          <w:szCs w:val="32"/>
          <w:lang w:val="is-IS"/>
        </w:rPr>
        <w:t>hafa með tímanum skilað sér inn í kafla 6, en stangast á við eitt og annað í þessum viðauka, sem var mikilvægt barn síns tíma.</w:t>
      </w:r>
      <w:r w:rsidR="00C23ADF" w:rsidRPr="00F74C0A">
        <w:rPr>
          <w:color w:val="FF0000"/>
          <w:sz w:val="32"/>
          <w:szCs w:val="32"/>
          <w:lang w:val="is-IS"/>
        </w:rPr>
        <w:t xml:space="preserve"> </w:t>
      </w:r>
      <w:r w:rsidR="0000703D">
        <w:rPr>
          <w:color w:val="FF0000"/>
          <w:sz w:val="32"/>
          <w:szCs w:val="32"/>
          <w:lang w:val="is-IS"/>
        </w:rPr>
        <w:t xml:space="preserve">Þessi viðauki er því að megninu til látinn halda sér, enda ýmsan fróðleik að finna sem stenst fyllilega tímans tönn. </w:t>
      </w:r>
    </w:p>
    <w:p w14:paraId="33D07B25" w14:textId="77777777" w:rsidR="00E81FC3" w:rsidRDefault="00E81FC3">
      <w:pPr>
        <w:overflowPunct/>
        <w:autoSpaceDE/>
        <w:autoSpaceDN/>
        <w:adjustRightInd/>
        <w:textAlignment w:val="auto"/>
        <w:rPr>
          <w:color w:val="FF0000"/>
          <w:sz w:val="24"/>
          <w:szCs w:val="24"/>
          <w:lang w:val="is-IS"/>
        </w:rPr>
      </w:pPr>
      <w:r>
        <w:rPr>
          <w:color w:val="FF0000"/>
          <w:sz w:val="24"/>
          <w:szCs w:val="24"/>
          <w:lang w:val="is-IS"/>
        </w:rPr>
        <w:br w:type="page"/>
      </w:r>
    </w:p>
    <w:sdt>
      <w:sdtPr>
        <w:rPr>
          <w:rFonts w:ascii="Times New Roman" w:eastAsia="Times New Roman" w:hAnsi="Times New Roman" w:cs="Times New Roman"/>
          <w:color w:val="auto"/>
          <w:sz w:val="22"/>
          <w:szCs w:val="20"/>
          <w:lang w:val="en-GB"/>
        </w:rPr>
        <w:id w:val="-1141418182"/>
        <w:docPartObj>
          <w:docPartGallery w:val="Table of Contents"/>
          <w:docPartUnique/>
        </w:docPartObj>
      </w:sdtPr>
      <w:sdtEndPr>
        <w:rPr>
          <w:b/>
          <w:bCs/>
          <w:noProof/>
        </w:rPr>
      </w:sdtEndPr>
      <w:sdtContent>
        <w:p w14:paraId="33D07B26" w14:textId="77777777" w:rsidR="00E81FC3" w:rsidRDefault="00E81FC3">
          <w:pPr>
            <w:pStyle w:val="TOCHeading"/>
          </w:pPr>
          <w:r>
            <w:t>Efnisyfirlit</w:t>
          </w:r>
        </w:p>
        <w:p w14:paraId="18819B35" w14:textId="77777777" w:rsidR="00415B0D" w:rsidRDefault="00E81FC3">
          <w:pPr>
            <w:pStyle w:val="TOC1"/>
            <w:tabs>
              <w:tab w:val="left" w:pos="440"/>
              <w:tab w:val="right" w:leader="dot" w:pos="8398"/>
            </w:tabs>
            <w:rPr>
              <w:rFonts w:asciiTheme="minorHAnsi" w:eastAsiaTheme="minorEastAsia" w:hAnsiTheme="minorHAnsi" w:cstheme="minorBidi"/>
              <w:noProof/>
              <w:szCs w:val="22"/>
              <w:lang w:eastAsia="en-GB"/>
            </w:rPr>
          </w:pPr>
          <w:r>
            <w:fldChar w:fldCharType="begin"/>
          </w:r>
          <w:r>
            <w:instrText xml:space="preserve"> TOC \o "1-3" \h \z \u </w:instrText>
          </w:r>
          <w:r>
            <w:fldChar w:fldCharType="separate"/>
          </w:r>
          <w:hyperlink w:anchor="_Toc52974006" w:history="1">
            <w:r w:rsidR="00415B0D" w:rsidRPr="00F92CE5">
              <w:rPr>
                <w:rStyle w:val="Hyperlink"/>
                <w:noProof/>
              </w:rPr>
              <w:t>1</w:t>
            </w:r>
            <w:r w:rsidR="00415B0D">
              <w:rPr>
                <w:rFonts w:asciiTheme="minorHAnsi" w:eastAsiaTheme="minorEastAsia" w:hAnsiTheme="minorHAnsi" w:cstheme="minorBidi"/>
                <w:noProof/>
                <w:szCs w:val="22"/>
                <w:lang w:eastAsia="en-GB"/>
              </w:rPr>
              <w:tab/>
            </w:r>
            <w:r w:rsidR="00415B0D" w:rsidRPr="00F92CE5">
              <w:rPr>
                <w:rStyle w:val="Hyperlink"/>
                <w:noProof/>
              </w:rPr>
              <w:t>FRÓÐLEIKUR UM BIKBINDIEFNI TIL VEGAGERÐAR</w:t>
            </w:r>
            <w:r w:rsidR="00415B0D">
              <w:rPr>
                <w:noProof/>
                <w:webHidden/>
              </w:rPr>
              <w:tab/>
            </w:r>
            <w:r w:rsidR="00415B0D">
              <w:rPr>
                <w:noProof/>
                <w:webHidden/>
              </w:rPr>
              <w:fldChar w:fldCharType="begin"/>
            </w:r>
            <w:r w:rsidR="00415B0D">
              <w:rPr>
                <w:noProof/>
                <w:webHidden/>
              </w:rPr>
              <w:instrText xml:space="preserve"> PAGEREF _Toc52974006 \h </w:instrText>
            </w:r>
            <w:r w:rsidR="00415B0D">
              <w:rPr>
                <w:noProof/>
                <w:webHidden/>
              </w:rPr>
            </w:r>
            <w:r w:rsidR="00415B0D">
              <w:rPr>
                <w:noProof/>
                <w:webHidden/>
              </w:rPr>
              <w:fldChar w:fldCharType="separate"/>
            </w:r>
            <w:r w:rsidR="00187A2A">
              <w:rPr>
                <w:noProof/>
                <w:webHidden/>
              </w:rPr>
              <w:t>4</w:t>
            </w:r>
            <w:r w:rsidR="00415B0D">
              <w:rPr>
                <w:noProof/>
                <w:webHidden/>
              </w:rPr>
              <w:fldChar w:fldCharType="end"/>
            </w:r>
          </w:hyperlink>
        </w:p>
        <w:p w14:paraId="3F2BED23" w14:textId="77777777" w:rsidR="00415B0D" w:rsidRDefault="001D42D2">
          <w:pPr>
            <w:pStyle w:val="TOC2"/>
            <w:tabs>
              <w:tab w:val="left" w:pos="880"/>
              <w:tab w:val="right" w:leader="dot" w:pos="8398"/>
            </w:tabs>
            <w:rPr>
              <w:rFonts w:asciiTheme="minorHAnsi" w:eastAsiaTheme="minorEastAsia" w:hAnsiTheme="minorHAnsi" w:cstheme="minorBidi"/>
              <w:noProof/>
              <w:szCs w:val="22"/>
              <w:lang w:eastAsia="en-GB"/>
            </w:rPr>
          </w:pPr>
          <w:hyperlink w:anchor="_Toc52974007" w:history="1">
            <w:r w:rsidR="00415B0D" w:rsidRPr="00F92CE5">
              <w:rPr>
                <w:rStyle w:val="Hyperlink"/>
                <w:noProof/>
                <w:lang w:val="is-IS"/>
              </w:rPr>
              <w:t>1.1</w:t>
            </w:r>
            <w:r w:rsidR="00415B0D">
              <w:rPr>
                <w:rFonts w:asciiTheme="minorHAnsi" w:eastAsiaTheme="minorEastAsia" w:hAnsiTheme="minorHAnsi" w:cstheme="minorBidi"/>
                <w:noProof/>
                <w:szCs w:val="22"/>
                <w:lang w:eastAsia="en-GB"/>
              </w:rPr>
              <w:tab/>
            </w:r>
            <w:r w:rsidR="00415B0D" w:rsidRPr="00F92CE5">
              <w:rPr>
                <w:rStyle w:val="Hyperlink"/>
                <w:noProof/>
                <w:lang w:val="is-IS"/>
              </w:rPr>
              <w:t>Inngangur</w:t>
            </w:r>
            <w:r w:rsidR="00415B0D">
              <w:rPr>
                <w:noProof/>
                <w:webHidden/>
              </w:rPr>
              <w:tab/>
            </w:r>
            <w:r w:rsidR="00415B0D">
              <w:rPr>
                <w:noProof/>
                <w:webHidden/>
              </w:rPr>
              <w:fldChar w:fldCharType="begin"/>
            </w:r>
            <w:r w:rsidR="00415B0D">
              <w:rPr>
                <w:noProof/>
                <w:webHidden/>
              </w:rPr>
              <w:instrText xml:space="preserve"> PAGEREF _Toc52974007 \h </w:instrText>
            </w:r>
            <w:r w:rsidR="00415B0D">
              <w:rPr>
                <w:noProof/>
                <w:webHidden/>
              </w:rPr>
            </w:r>
            <w:r w:rsidR="00415B0D">
              <w:rPr>
                <w:noProof/>
                <w:webHidden/>
              </w:rPr>
              <w:fldChar w:fldCharType="separate"/>
            </w:r>
            <w:r w:rsidR="00187A2A">
              <w:rPr>
                <w:noProof/>
                <w:webHidden/>
              </w:rPr>
              <w:t>4</w:t>
            </w:r>
            <w:r w:rsidR="00415B0D">
              <w:rPr>
                <w:noProof/>
                <w:webHidden/>
              </w:rPr>
              <w:fldChar w:fldCharType="end"/>
            </w:r>
          </w:hyperlink>
        </w:p>
        <w:p w14:paraId="133529FD" w14:textId="77777777" w:rsidR="00415B0D" w:rsidRDefault="001D42D2">
          <w:pPr>
            <w:pStyle w:val="TOC2"/>
            <w:tabs>
              <w:tab w:val="left" w:pos="880"/>
              <w:tab w:val="right" w:leader="dot" w:pos="8398"/>
            </w:tabs>
            <w:rPr>
              <w:rFonts w:asciiTheme="minorHAnsi" w:eastAsiaTheme="minorEastAsia" w:hAnsiTheme="minorHAnsi" w:cstheme="minorBidi"/>
              <w:noProof/>
              <w:szCs w:val="22"/>
              <w:lang w:eastAsia="en-GB"/>
            </w:rPr>
          </w:pPr>
          <w:hyperlink w:anchor="_Toc52974008" w:history="1">
            <w:r w:rsidR="00415B0D" w:rsidRPr="00F92CE5">
              <w:rPr>
                <w:rStyle w:val="Hyperlink"/>
                <w:noProof/>
                <w:lang w:val="is-IS"/>
              </w:rPr>
              <w:t>1.2</w:t>
            </w:r>
            <w:r w:rsidR="00415B0D">
              <w:rPr>
                <w:rFonts w:asciiTheme="minorHAnsi" w:eastAsiaTheme="minorEastAsia" w:hAnsiTheme="minorHAnsi" w:cstheme="minorBidi"/>
                <w:noProof/>
                <w:szCs w:val="22"/>
                <w:lang w:eastAsia="en-GB"/>
              </w:rPr>
              <w:tab/>
            </w:r>
            <w:r w:rsidR="00415B0D" w:rsidRPr="00F92CE5">
              <w:rPr>
                <w:rStyle w:val="Hyperlink"/>
                <w:noProof/>
                <w:lang w:val="is-IS"/>
              </w:rPr>
              <w:t>Helstu gerðir bindiefna</w:t>
            </w:r>
            <w:r w:rsidR="00415B0D">
              <w:rPr>
                <w:noProof/>
                <w:webHidden/>
              </w:rPr>
              <w:tab/>
            </w:r>
            <w:r w:rsidR="00415B0D">
              <w:rPr>
                <w:noProof/>
                <w:webHidden/>
              </w:rPr>
              <w:fldChar w:fldCharType="begin"/>
            </w:r>
            <w:r w:rsidR="00415B0D">
              <w:rPr>
                <w:noProof/>
                <w:webHidden/>
              </w:rPr>
              <w:instrText xml:space="preserve"> PAGEREF _Toc52974008 \h </w:instrText>
            </w:r>
            <w:r w:rsidR="00415B0D">
              <w:rPr>
                <w:noProof/>
                <w:webHidden/>
              </w:rPr>
            </w:r>
            <w:r w:rsidR="00415B0D">
              <w:rPr>
                <w:noProof/>
                <w:webHidden/>
              </w:rPr>
              <w:fldChar w:fldCharType="separate"/>
            </w:r>
            <w:r w:rsidR="00187A2A">
              <w:rPr>
                <w:noProof/>
                <w:webHidden/>
              </w:rPr>
              <w:t>5</w:t>
            </w:r>
            <w:r w:rsidR="00415B0D">
              <w:rPr>
                <w:noProof/>
                <w:webHidden/>
              </w:rPr>
              <w:fldChar w:fldCharType="end"/>
            </w:r>
          </w:hyperlink>
        </w:p>
        <w:p w14:paraId="79989351" w14:textId="77777777" w:rsidR="00415B0D" w:rsidRDefault="001D42D2">
          <w:pPr>
            <w:pStyle w:val="TOC2"/>
            <w:tabs>
              <w:tab w:val="left" w:pos="880"/>
              <w:tab w:val="right" w:leader="dot" w:pos="8398"/>
            </w:tabs>
            <w:rPr>
              <w:rFonts w:asciiTheme="minorHAnsi" w:eastAsiaTheme="minorEastAsia" w:hAnsiTheme="minorHAnsi" w:cstheme="minorBidi"/>
              <w:noProof/>
              <w:szCs w:val="22"/>
              <w:lang w:eastAsia="en-GB"/>
            </w:rPr>
          </w:pPr>
          <w:hyperlink w:anchor="_Toc52974009" w:history="1">
            <w:r w:rsidR="00415B0D" w:rsidRPr="00F92CE5">
              <w:rPr>
                <w:rStyle w:val="Hyperlink"/>
                <w:noProof/>
                <w:lang w:val="is-IS"/>
              </w:rPr>
              <w:t>1.3</w:t>
            </w:r>
            <w:r w:rsidR="00415B0D">
              <w:rPr>
                <w:rFonts w:asciiTheme="minorHAnsi" w:eastAsiaTheme="minorEastAsia" w:hAnsiTheme="minorHAnsi" w:cstheme="minorBidi"/>
                <w:noProof/>
                <w:szCs w:val="22"/>
                <w:lang w:eastAsia="en-GB"/>
              </w:rPr>
              <w:tab/>
            </w:r>
            <w:r w:rsidR="00415B0D" w:rsidRPr="00F92CE5">
              <w:rPr>
                <w:rStyle w:val="Hyperlink"/>
                <w:noProof/>
                <w:lang w:val="is-IS"/>
              </w:rPr>
              <w:t>Hitastig við geymslu og dælingu</w:t>
            </w:r>
            <w:r w:rsidR="00415B0D">
              <w:rPr>
                <w:noProof/>
                <w:webHidden/>
              </w:rPr>
              <w:tab/>
            </w:r>
            <w:r w:rsidR="00415B0D">
              <w:rPr>
                <w:noProof/>
                <w:webHidden/>
              </w:rPr>
              <w:fldChar w:fldCharType="begin"/>
            </w:r>
            <w:r w:rsidR="00415B0D">
              <w:rPr>
                <w:noProof/>
                <w:webHidden/>
              </w:rPr>
              <w:instrText xml:space="preserve"> PAGEREF _Toc52974009 \h </w:instrText>
            </w:r>
            <w:r w:rsidR="00415B0D">
              <w:rPr>
                <w:noProof/>
                <w:webHidden/>
              </w:rPr>
            </w:r>
            <w:r w:rsidR="00415B0D">
              <w:rPr>
                <w:noProof/>
                <w:webHidden/>
              </w:rPr>
              <w:fldChar w:fldCharType="separate"/>
            </w:r>
            <w:r w:rsidR="00187A2A">
              <w:rPr>
                <w:noProof/>
                <w:webHidden/>
              </w:rPr>
              <w:t>6</w:t>
            </w:r>
            <w:r w:rsidR="00415B0D">
              <w:rPr>
                <w:noProof/>
                <w:webHidden/>
              </w:rPr>
              <w:fldChar w:fldCharType="end"/>
            </w:r>
          </w:hyperlink>
        </w:p>
        <w:p w14:paraId="6D588468" w14:textId="77777777" w:rsidR="00415B0D" w:rsidRDefault="001D42D2">
          <w:pPr>
            <w:pStyle w:val="TOC2"/>
            <w:tabs>
              <w:tab w:val="left" w:pos="880"/>
              <w:tab w:val="right" w:leader="dot" w:pos="8398"/>
            </w:tabs>
            <w:rPr>
              <w:rFonts w:asciiTheme="minorHAnsi" w:eastAsiaTheme="minorEastAsia" w:hAnsiTheme="minorHAnsi" w:cstheme="minorBidi"/>
              <w:noProof/>
              <w:szCs w:val="22"/>
              <w:lang w:eastAsia="en-GB"/>
            </w:rPr>
          </w:pPr>
          <w:hyperlink w:anchor="_Toc52974010" w:history="1">
            <w:r w:rsidR="00415B0D" w:rsidRPr="00F92CE5">
              <w:rPr>
                <w:rStyle w:val="Hyperlink"/>
                <w:noProof/>
              </w:rPr>
              <w:t>1.4</w:t>
            </w:r>
            <w:r w:rsidR="00415B0D">
              <w:rPr>
                <w:rFonts w:asciiTheme="minorHAnsi" w:eastAsiaTheme="minorEastAsia" w:hAnsiTheme="minorHAnsi" w:cstheme="minorBidi"/>
                <w:noProof/>
                <w:szCs w:val="22"/>
                <w:lang w:eastAsia="en-GB"/>
              </w:rPr>
              <w:tab/>
            </w:r>
            <w:r w:rsidR="00415B0D" w:rsidRPr="00F92CE5">
              <w:rPr>
                <w:rStyle w:val="Hyperlink"/>
                <w:noProof/>
              </w:rPr>
              <w:t>Varúðarráðstafanir</w:t>
            </w:r>
            <w:r w:rsidR="00415B0D">
              <w:rPr>
                <w:noProof/>
                <w:webHidden/>
              </w:rPr>
              <w:tab/>
            </w:r>
            <w:r w:rsidR="00415B0D">
              <w:rPr>
                <w:noProof/>
                <w:webHidden/>
              </w:rPr>
              <w:fldChar w:fldCharType="begin"/>
            </w:r>
            <w:r w:rsidR="00415B0D">
              <w:rPr>
                <w:noProof/>
                <w:webHidden/>
              </w:rPr>
              <w:instrText xml:space="preserve"> PAGEREF _Toc52974010 \h </w:instrText>
            </w:r>
            <w:r w:rsidR="00415B0D">
              <w:rPr>
                <w:noProof/>
                <w:webHidden/>
              </w:rPr>
            </w:r>
            <w:r w:rsidR="00415B0D">
              <w:rPr>
                <w:noProof/>
                <w:webHidden/>
              </w:rPr>
              <w:fldChar w:fldCharType="separate"/>
            </w:r>
            <w:r w:rsidR="00187A2A">
              <w:rPr>
                <w:noProof/>
                <w:webHidden/>
              </w:rPr>
              <w:t>6</w:t>
            </w:r>
            <w:r w:rsidR="00415B0D">
              <w:rPr>
                <w:noProof/>
                <w:webHidden/>
              </w:rPr>
              <w:fldChar w:fldCharType="end"/>
            </w:r>
          </w:hyperlink>
        </w:p>
        <w:p w14:paraId="77DC7EE4" w14:textId="77777777" w:rsidR="00415B0D" w:rsidRDefault="001D42D2">
          <w:pPr>
            <w:pStyle w:val="TOC2"/>
            <w:tabs>
              <w:tab w:val="left" w:pos="880"/>
              <w:tab w:val="right" w:leader="dot" w:pos="8398"/>
            </w:tabs>
            <w:rPr>
              <w:rFonts w:asciiTheme="minorHAnsi" w:eastAsiaTheme="minorEastAsia" w:hAnsiTheme="minorHAnsi" w:cstheme="minorBidi"/>
              <w:noProof/>
              <w:szCs w:val="22"/>
              <w:lang w:eastAsia="en-GB"/>
            </w:rPr>
          </w:pPr>
          <w:hyperlink w:anchor="_Toc52974011" w:history="1">
            <w:r w:rsidR="00415B0D" w:rsidRPr="00F92CE5">
              <w:rPr>
                <w:rStyle w:val="Hyperlink"/>
                <w:noProof/>
              </w:rPr>
              <w:t>1.5</w:t>
            </w:r>
            <w:r w:rsidR="00415B0D">
              <w:rPr>
                <w:rFonts w:asciiTheme="minorHAnsi" w:eastAsiaTheme="minorEastAsia" w:hAnsiTheme="minorHAnsi" w:cstheme="minorBidi"/>
                <w:noProof/>
                <w:szCs w:val="22"/>
                <w:lang w:eastAsia="en-GB"/>
              </w:rPr>
              <w:tab/>
            </w:r>
            <w:r w:rsidR="00415B0D" w:rsidRPr="00F92CE5">
              <w:rPr>
                <w:rStyle w:val="Hyperlink"/>
                <w:noProof/>
              </w:rPr>
              <w:t>Flokkunarkerfi fyrir bikbindiefni</w:t>
            </w:r>
            <w:r w:rsidR="00415B0D">
              <w:rPr>
                <w:noProof/>
                <w:webHidden/>
              </w:rPr>
              <w:tab/>
            </w:r>
            <w:r w:rsidR="00415B0D">
              <w:rPr>
                <w:noProof/>
                <w:webHidden/>
              </w:rPr>
              <w:fldChar w:fldCharType="begin"/>
            </w:r>
            <w:r w:rsidR="00415B0D">
              <w:rPr>
                <w:noProof/>
                <w:webHidden/>
              </w:rPr>
              <w:instrText xml:space="preserve"> PAGEREF _Toc52974011 \h </w:instrText>
            </w:r>
            <w:r w:rsidR="00415B0D">
              <w:rPr>
                <w:noProof/>
                <w:webHidden/>
              </w:rPr>
            </w:r>
            <w:r w:rsidR="00415B0D">
              <w:rPr>
                <w:noProof/>
                <w:webHidden/>
              </w:rPr>
              <w:fldChar w:fldCharType="separate"/>
            </w:r>
            <w:r w:rsidR="00187A2A">
              <w:rPr>
                <w:noProof/>
                <w:webHidden/>
              </w:rPr>
              <w:t>6</w:t>
            </w:r>
            <w:r w:rsidR="00415B0D">
              <w:rPr>
                <w:noProof/>
                <w:webHidden/>
              </w:rPr>
              <w:fldChar w:fldCharType="end"/>
            </w:r>
          </w:hyperlink>
        </w:p>
        <w:p w14:paraId="60FCED6F" w14:textId="77777777" w:rsidR="00415B0D" w:rsidRDefault="001D42D2">
          <w:pPr>
            <w:pStyle w:val="TOC2"/>
            <w:tabs>
              <w:tab w:val="left" w:pos="880"/>
              <w:tab w:val="right" w:leader="dot" w:pos="8398"/>
            </w:tabs>
            <w:rPr>
              <w:rFonts w:asciiTheme="minorHAnsi" w:eastAsiaTheme="minorEastAsia" w:hAnsiTheme="minorHAnsi" w:cstheme="minorBidi"/>
              <w:noProof/>
              <w:szCs w:val="22"/>
              <w:lang w:eastAsia="en-GB"/>
            </w:rPr>
          </w:pPr>
          <w:hyperlink w:anchor="_Toc52974012" w:history="1">
            <w:r w:rsidR="00415B0D" w:rsidRPr="00F92CE5">
              <w:rPr>
                <w:rStyle w:val="Hyperlink"/>
                <w:noProof/>
              </w:rPr>
              <w:t>1.6</w:t>
            </w:r>
            <w:r w:rsidR="00415B0D">
              <w:rPr>
                <w:rFonts w:asciiTheme="minorHAnsi" w:eastAsiaTheme="minorEastAsia" w:hAnsiTheme="minorHAnsi" w:cstheme="minorBidi"/>
                <w:noProof/>
                <w:szCs w:val="22"/>
                <w:lang w:eastAsia="en-GB"/>
              </w:rPr>
              <w:tab/>
            </w:r>
            <w:r w:rsidR="00415B0D" w:rsidRPr="00F92CE5">
              <w:rPr>
                <w:rStyle w:val="Hyperlink"/>
                <w:noProof/>
              </w:rPr>
              <w:t>Notagildi og eiginleikar</w:t>
            </w:r>
            <w:r w:rsidR="00415B0D">
              <w:rPr>
                <w:noProof/>
                <w:webHidden/>
              </w:rPr>
              <w:tab/>
            </w:r>
            <w:r w:rsidR="00415B0D">
              <w:rPr>
                <w:noProof/>
                <w:webHidden/>
              </w:rPr>
              <w:fldChar w:fldCharType="begin"/>
            </w:r>
            <w:r w:rsidR="00415B0D">
              <w:rPr>
                <w:noProof/>
                <w:webHidden/>
              </w:rPr>
              <w:instrText xml:space="preserve"> PAGEREF _Toc52974012 \h </w:instrText>
            </w:r>
            <w:r w:rsidR="00415B0D">
              <w:rPr>
                <w:noProof/>
                <w:webHidden/>
              </w:rPr>
            </w:r>
            <w:r w:rsidR="00415B0D">
              <w:rPr>
                <w:noProof/>
                <w:webHidden/>
              </w:rPr>
              <w:fldChar w:fldCharType="separate"/>
            </w:r>
            <w:r w:rsidR="00187A2A">
              <w:rPr>
                <w:noProof/>
                <w:webHidden/>
              </w:rPr>
              <w:t>7</w:t>
            </w:r>
            <w:r w:rsidR="00415B0D">
              <w:rPr>
                <w:noProof/>
                <w:webHidden/>
              </w:rPr>
              <w:fldChar w:fldCharType="end"/>
            </w:r>
          </w:hyperlink>
        </w:p>
        <w:p w14:paraId="622D97DC" w14:textId="77777777" w:rsidR="00415B0D" w:rsidRDefault="001D42D2">
          <w:pPr>
            <w:pStyle w:val="TOC2"/>
            <w:tabs>
              <w:tab w:val="left" w:pos="880"/>
              <w:tab w:val="right" w:leader="dot" w:pos="8398"/>
            </w:tabs>
            <w:rPr>
              <w:rFonts w:asciiTheme="minorHAnsi" w:eastAsiaTheme="minorEastAsia" w:hAnsiTheme="minorHAnsi" w:cstheme="minorBidi"/>
              <w:noProof/>
              <w:szCs w:val="22"/>
              <w:lang w:eastAsia="en-GB"/>
            </w:rPr>
          </w:pPr>
          <w:hyperlink w:anchor="_Toc52974013" w:history="1">
            <w:r w:rsidR="00415B0D" w:rsidRPr="00F92CE5">
              <w:rPr>
                <w:rStyle w:val="Hyperlink"/>
                <w:noProof/>
              </w:rPr>
              <w:t>1.7</w:t>
            </w:r>
            <w:r w:rsidR="00415B0D">
              <w:rPr>
                <w:rFonts w:asciiTheme="minorHAnsi" w:eastAsiaTheme="minorEastAsia" w:hAnsiTheme="minorHAnsi" w:cstheme="minorBidi"/>
                <w:noProof/>
                <w:szCs w:val="22"/>
                <w:lang w:eastAsia="en-GB"/>
              </w:rPr>
              <w:tab/>
            </w:r>
            <w:r w:rsidR="00415B0D" w:rsidRPr="00F92CE5">
              <w:rPr>
                <w:rStyle w:val="Hyperlink"/>
                <w:noProof/>
              </w:rPr>
              <w:t>Prófanir á bindiefnum</w:t>
            </w:r>
            <w:r w:rsidR="00415B0D">
              <w:rPr>
                <w:noProof/>
                <w:webHidden/>
              </w:rPr>
              <w:tab/>
            </w:r>
            <w:r w:rsidR="00415B0D">
              <w:rPr>
                <w:noProof/>
                <w:webHidden/>
              </w:rPr>
              <w:fldChar w:fldCharType="begin"/>
            </w:r>
            <w:r w:rsidR="00415B0D">
              <w:rPr>
                <w:noProof/>
                <w:webHidden/>
              </w:rPr>
              <w:instrText xml:space="preserve"> PAGEREF _Toc52974013 \h </w:instrText>
            </w:r>
            <w:r w:rsidR="00415B0D">
              <w:rPr>
                <w:noProof/>
                <w:webHidden/>
              </w:rPr>
            </w:r>
            <w:r w:rsidR="00415B0D">
              <w:rPr>
                <w:noProof/>
                <w:webHidden/>
              </w:rPr>
              <w:fldChar w:fldCharType="separate"/>
            </w:r>
            <w:r w:rsidR="00187A2A">
              <w:rPr>
                <w:noProof/>
                <w:webHidden/>
              </w:rPr>
              <w:t>8</w:t>
            </w:r>
            <w:r w:rsidR="00415B0D">
              <w:rPr>
                <w:noProof/>
                <w:webHidden/>
              </w:rPr>
              <w:fldChar w:fldCharType="end"/>
            </w:r>
          </w:hyperlink>
        </w:p>
        <w:p w14:paraId="0A27B947" w14:textId="77777777" w:rsidR="00415B0D" w:rsidRDefault="001D42D2">
          <w:pPr>
            <w:pStyle w:val="TOC2"/>
            <w:tabs>
              <w:tab w:val="left" w:pos="880"/>
              <w:tab w:val="right" w:leader="dot" w:pos="8398"/>
            </w:tabs>
            <w:rPr>
              <w:rFonts w:asciiTheme="minorHAnsi" w:eastAsiaTheme="minorEastAsia" w:hAnsiTheme="minorHAnsi" w:cstheme="minorBidi"/>
              <w:noProof/>
              <w:szCs w:val="22"/>
              <w:lang w:eastAsia="en-GB"/>
            </w:rPr>
          </w:pPr>
          <w:hyperlink w:anchor="_Toc52974014" w:history="1">
            <w:r w:rsidR="00415B0D" w:rsidRPr="00F92CE5">
              <w:rPr>
                <w:rStyle w:val="Hyperlink"/>
                <w:noProof/>
              </w:rPr>
              <w:t>1.8</w:t>
            </w:r>
            <w:r w:rsidR="00415B0D">
              <w:rPr>
                <w:rFonts w:asciiTheme="minorHAnsi" w:eastAsiaTheme="minorEastAsia" w:hAnsiTheme="minorHAnsi" w:cstheme="minorBidi"/>
                <w:noProof/>
                <w:szCs w:val="22"/>
                <w:lang w:eastAsia="en-GB"/>
              </w:rPr>
              <w:tab/>
            </w:r>
            <w:r w:rsidR="00415B0D" w:rsidRPr="00F92CE5">
              <w:rPr>
                <w:rStyle w:val="Hyperlink"/>
                <w:noProof/>
              </w:rPr>
              <w:t>Breytt bindiefni</w:t>
            </w:r>
            <w:r w:rsidR="00415B0D">
              <w:rPr>
                <w:noProof/>
                <w:webHidden/>
              </w:rPr>
              <w:tab/>
            </w:r>
            <w:r w:rsidR="00415B0D">
              <w:rPr>
                <w:noProof/>
                <w:webHidden/>
              </w:rPr>
              <w:fldChar w:fldCharType="begin"/>
            </w:r>
            <w:r w:rsidR="00415B0D">
              <w:rPr>
                <w:noProof/>
                <w:webHidden/>
              </w:rPr>
              <w:instrText xml:space="preserve"> PAGEREF _Toc52974014 \h </w:instrText>
            </w:r>
            <w:r w:rsidR="00415B0D">
              <w:rPr>
                <w:noProof/>
                <w:webHidden/>
              </w:rPr>
            </w:r>
            <w:r w:rsidR="00415B0D">
              <w:rPr>
                <w:noProof/>
                <w:webHidden/>
              </w:rPr>
              <w:fldChar w:fldCharType="separate"/>
            </w:r>
            <w:r w:rsidR="00187A2A">
              <w:rPr>
                <w:noProof/>
                <w:webHidden/>
              </w:rPr>
              <w:t>10</w:t>
            </w:r>
            <w:r w:rsidR="00415B0D">
              <w:rPr>
                <w:noProof/>
                <w:webHidden/>
              </w:rPr>
              <w:fldChar w:fldCharType="end"/>
            </w:r>
          </w:hyperlink>
        </w:p>
        <w:p w14:paraId="30FB90EA" w14:textId="77777777" w:rsidR="00415B0D" w:rsidRDefault="001D42D2">
          <w:pPr>
            <w:pStyle w:val="TOC1"/>
            <w:tabs>
              <w:tab w:val="left" w:pos="440"/>
              <w:tab w:val="right" w:leader="dot" w:pos="8398"/>
            </w:tabs>
            <w:rPr>
              <w:rFonts w:asciiTheme="minorHAnsi" w:eastAsiaTheme="minorEastAsia" w:hAnsiTheme="minorHAnsi" w:cstheme="minorBidi"/>
              <w:noProof/>
              <w:szCs w:val="22"/>
              <w:lang w:eastAsia="en-GB"/>
            </w:rPr>
          </w:pPr>
          <w:hyperlink w:anchor="_Toc52974015" w:history="1">
            <w:r w:rsidR="00415B0D" w:rsidRPr="00F92CE5">
              <w:rPr>
                <w:rStyle w:val="Hyperlink"/>
                <w:noProof/>
              </w:rPr>
              <w:t>2</w:t>
            </w:r>
            <w:r w:rsidR="00415B0D">
              <w:rPr>
                <w:rFonts w:asciiTheme="minorHAnsi" w:eastAsiaTheme="minorEastAsia" w:hAnsiTheme="minorHAnsi" w:cstheme="minorBidi"/>
                <w:noProof/>
                <w:szCs w:val="22"/>
                <w:lang w:eastAsia="en-GB"/>
              </w:rPr>
              <w:tab/>
            </w:r>
            <w:r w:rsidR="00415B0D" w:rsidRPr="00F92CE5">
              <w:rPr>
                <w:rStyle w:val="Hyperlink"/>
                <w:noProof/>
              </w:rPr>
              <w:t>VAL Á BINDIEFNI, HART EÐA MJÚKT?</w:t>
            </w:r>
            <w:r w:rsidR="00415B0D">
              <w:rPr>
                <w:noProof/>
                <w:webHidden/>
              </w:rPr>
              <w:tab/>
            </w:r>
            <w:r w:rsidR="00415B0D">
              <w:rPr>
                <w:noProof/>
                <w:webHidden/>
              </w:rPr>
              <w:fldChar w:fldCharType="begin"/>
            </w:r>
            <w:r w:rsidR="00415B0D">
              <w:rPr>
                <w:noProof/>
                <w:webHidden/>
              </w:rPr>
              <w:instrText xml:space="preserve"> PAGEREF _Toc52974015 \h </w:instrText>
            </w:r>
            <w:r w:rsidR="00415B0D">
              <w:rPr>
                <w:noProof/>
                <w:webHidden/>
              </w:rPr>
            </w:r>
            <w:r w:rsidR="00415B0D">
              <w:rPr>
                <w:noProof/>
                <w:webHidden/>
              </w:rPr>
              <w:fldChar w:fldCharType="separate"/>
            </w:r>
            <w:r w:rsidR="00187A2A">
              <w:rPr>
                <w:noProof/>
                <w:webHidden/>
              </w:rPr>
              <w:t>12</w:t>
            </w:r>
            <w:r w:rsidR="00415B0D">
              <w:rPr>
                <w:noProof/>
                <w:webHidden/>
              </w:rPr>
              <w:fldChar w:fldCharType="end"/>
            </w:r>
          </w:hyperlink>
        </w:p>
        <w:p w14:paraId="3DF33CB8" w14:textId="77777777" w:rsidR="00415B0D" w:rsidRDefault="001D42D2">
          <w:pPr>
            <w:pStyle w:val="TOC1"/>
            <w:tabs>
              <w:tab w:val="left" w:pos="440"/>
              <w:tab w:val="right" w:leader="dot" w:pos="8398"/>
            </w:tabs>
            <w:rPr>
              <w:rFonts w:asciiTheme="minorHAnsi" w:eastAsiaTheme="minorEastAsia" w:hAnsiTheme="minorHAnsi" w:cstheme="minorBidi"/>
              <w:noProof/>
              <w:szCs w:val="22"/>
              <w:lang w:eastAsia="en-GB"/>
            </w:rPr>
          </w:pPr>
          <w:hyperlink w:anchor="_Toc52974016" w:history="1">
            <w:r w:rsidR="00415B0D" w:rsidRPr="00F92CE5">
              <w:rPr>
                <w:rStyle w:val="Hyperlink"/>
                <w:noProof/>
              </w:rPr>
              <w:t>3</w:t>
            </w:r>
            <w:r w:rsidR="00415B0D">
              <w:rPr>
                <w:rFonts w:asciiTheme="minorHAnsi" w:eastAsiaTheme="minorEastAsia" w:hAnsiTheme="minorHAnsi" w:cstheme="minorBidi"/>
                <w:noProof/>
                <w:szCs w:val="22"/>
                <w:lang w:eastAsia="en-GB"/>
              </w:rPr>
              <w:tab/>
            </w:r>
            <w:r w:rsidR="00415B0D" w:rsidRPr="00F92CE5">
              <w:rPr>
                <w:rStyle w:val="Hyperlink"/>
                <w:noProof/>
              </w:rPr>
              <w:t>ÁHRIF BINDIEFNISINNIHALDS Á EIGINLEIKA MALBIKS</w:t>
            </w:r>
            <w:r w:rsidR="00415B0D">
              <w:rPr>
                <w:noProof/>
                <w:webHidden/>
              </w:rPr>
              <w:tab/>
            </w:r>
            <w:r w:rsidR="00415B0D">
              <w:rPr>
                <w:noProof/>
                <w:webHidden/>
              </w:rPr>
              <w:fldChar w:fldCharType="begin"/>
            </w:r>
            <w:r w:rsidR="00415B0D">
              <w:rPr>
                <w:noProof/>
                <w:webHidden/>
              </w:rPr>
              <w:instrText xml:space="preserve"> PAGEREF _Toc52974016 \h </w:instrText>
            </w:r>
            <w:r w:rsidR="00415B0D">
              <w:rPr>
                <w:noProof/>
                <w:webHidden/>
              </w:rPr>
            </w:r>
            <w:r w:rsidR="00415B0D">
              <w:rPr>
                <w:noProof/>
                <w:webHidden/>
              </w:rPr>
              <w:fldChar w:fldCharType="separate"/>
            </w:r>
            <w:r w:rsidR="00187A2A">
              <w:rPr>
                <w:noProof/>
                <w:webHidden/>
              </w:rPr>
              <w:t>14</w:t>
            </w:r>
            <w:r w:rsidR="00415B0D">
              <w:rPr>
                <w:noProof/>
                <w:webHidden/>
              </w:rPr>
              <w:fldChar w:fldCharType="end"/>
            </w:r>
          </w:hyperlink>
        </w:p>
        <w:p w14:paraId="376D4546" w14:textId="77777777" w:rsidR="00415B0D" w:rsidRDefault="001D42D2">
          <w:pPr>
            <w:pStyle w:val="TOC1"/>
            <w:tabs>
              <w:tab w:val="left" w:pos="440"/>
              <w:tab w:val="right" w:leader="dot" w:pos="8398"/>
            </w:tabs>
            <w:rPr>
              <w:rFonts w:asciiTheme="minorHAnsi" w:eastAsiaTheme="minorEastAsia" w:hAnsiTheme="minorHAnsi" w:cstheme="minorBidi"/>
              <w:noProof/>
              <w:szCs w:val="22"/>
              <w:lang w:eastAsia="en-GB"/>
            </w:rPr>
          </w:pPr>
          <w:hyperlink w:anchor="_Toc52974017" w:history="1">
            <w:r w:rsidR="00415B0D" w:rsidRPr="00F92CE5">
              <w:rPr>
                <w:rStyle w:val="Hyperlink"/>
                <w:noProof/>
              </w:rPr>
              <w:t>4</w:t>
            </w:r>
            <w:r w:rsidR="00415B0D">
              <w:rPr>
                <w:rFonts w:asciiTheme="minorHAnsi" w:eastAsiaTheme="minorEastAsia" w:hAnsiTheme="minorHAnsi" w:cstheme="minorBidi"/>
                <w:noProof/>
                <w:szCs w:val="22"/>
                <w:lang w:eastAsia="en-GB"/>
              </w:rPr>
              <w:tab/>
            </w:r>
            <w:r w:rsidR="00415B0D" w:rsidRPr="00F92CE5">
              <w:rPr>
                <w:rStyle w:val="Hyperlink"/>
                <w:noProof/>
              </w:rPr>
              <w:t>TILLAGA AÐ MÖRKUM FYRIR BINDIEFNISINNIHALD</w:t>
            </w:r>
            <w:r w:rsidR="00415B0D">
              <w:rPr>
                <w:noProof/>
                <w:webHidden/>
              </w:rPr>
              <w:tab/>
            </w:r>
            <w:r w:rsidR="00415B0D">
              <w:rPr>
                <w:noProof/>
                <w:webHidden/>
              </w:rPr>
              <w:fldChar w:fldCharType="begin"/>
            </w:r>
            <w:r w:rsidR="00415B0D">
              <w:rPr>
                <w:noProof/>
                <w:webHidden/>
              </w:rPr>
              <w:instrText xml:space="preserve"> PAGEREF _Toc52974017 \h </w:instrText>
            </w:r>
            <w:r w:rsidR="00415B0D">
              <w:rPr>
                <w:noProof/>
                <w:webHidden/>
              </w:rPr>
            </w:r>
            <w:r w:rsidR="00415B0D">
              <w:rPr>
                <w:noProof/>
                <w:webHidden/>
              </w:rPr>
              <w:fldChar w:fldCharType="separate"/>
            </w:r>
            <w:r w:rsidR="00187A2A">
              <w:rPr>
                <w:noProof/>
                <w:webHidden/>
              </w:rPr>
              <w:t>15</w:t>
            </w:r>
            <w:r w:rsidR="00415B0D">
              <w:rPr>
                <w:noProof/>
                <w:webHidden/>
              </w:rPr>
              <w:fldChar w:fldCharType="end"/>
            </w:r>
          </w:hyperlink>
        </w:p>
        <w:p w14:paraId="76074D84" w14:textId="77777777" w:rsidR="00415B0D" w:rsidRDefault="001D42D2">
          <w:pPr>
            <w:pStyle w:val="TOC1"/>
            <w:tabs>
              <w:tab w:val="left" w:pos="440"/>
              <w:tab w:val="right" w:leader="dot" w:pos="8398"/>
            </w:tabs>
            <w:rPr>
              <w:rFonts w:asciiTheme="minorHAnsi" w:eastAsiaTheme="minorEastAsia" w:hAnsiTheme="minorHAnsi" w:cstheme="minorBidi"/>
              <w:noProof/>
              <w:szCs w:val="22"/>
              <w:lang w:eastAsia="en-GB"/>
            </w:rPr>
          </w:pPr>
          <w:hyperlink w:anchor="_Toc52974018" w:history="1">
            <w:r w:rsidR="00415B0D" w:rsidRPr="00F92CE5">
              <w:rPr>
                <w:rStyle w:val="Hyperlink"/>
                <w:noProof/>
              </w:rPr>
              <w:t>5</w:t>
            </w:r>
            <w:r w:rsidR="00415B0D">
              <w:rPr>
                <w:rFonts w:asciiTheme="minorHAnsi" w:eastAsiaTheme="minorEastAsia" w:hAnsiTheme="minorHAnsi" w:cstheme="minorBidi"/>
                <w:noProof/>
                <w:szCs w:val="22"/>
                <w:lang w:eastAsia="en-GB"/>
              </w:rPr>
              <w:tab/>
            </w:r>
            <w:r w:rsidR="00415B0D" w:rsidRPr="00F92CE5">
              <w:rPr>
                <w:rStyle w:val="Hyperlink"/>
                <w:noProof/>
              </w:rPr>
              <w:t>SÁLDURFERLAR OG MARKALÍNUR FYRIR MALBIK</w:t>
            </w:r>
            <w:r w:rsidR="00415B0D">
              <w:rPr>
                <w:noProof/>
                <w:webHidden/>
              </w:rPr>
              <w:tab/>
            </w:r>
            <w:r w:rsidR="00415B0D">
              <w:rPr>
                <w:noProof/>
                <w:webHidden/>
              </w:rPr>
              <w:fldChar w:fldCharType="begin"/>
            </w:r>
            <w:r w:rsidR="00415B0D">
              <w:rPr>
                <w:noProof/>
                <w:webHidden/>
              </w:rPr>
              <w:instrText xml:space="preserve"> PAGEREF _Toc52974018 \h </w:instrText>
            </w:r>
            <w:r w:rsidR="00415B0D">
              <w:rPr>
                <w:noProof/>
                <w:webHidden/>
              </w:rPr>
            </w:r>
            <w:r w:rsidR="00415B0D">
              <w:rPr>
                <w:noProof/>
                <w:webHidden/>
              </w:rPr>
              <w:fldChar w:fldCharType="separate"/>
            </w:r>
            <w:r w:rsidR="00187A2A">
              <w:rPr>
                <w:noProof/>
                <w:webHidden/>
              </w:rPr>
              <w:t>17</w:t>
            </w:r>
            <w:r w:rsidR="00415B0D">
              <w:rPr>
                <w:noProof/>
                <w:webHidden/>
              </w:rPr>
              <w:fldChar w:fldCharType="end"/>
            </w:r>
          </w:hyperlink>
        </w:p>
        <w:p w14:paraId="1135BEE9" w14:textId="77777777" w:rsidR="00415B0D" w:rsidRDefault="001D42D2">
          <w:pPr>
            <w:pStyle w:val="TOC1"/>
            <w:tabs>
              <w:tab w:val="left" w:pos="440"/>
              <w:tab w:val="right" w:leader="dot" w:pos="8398"/>
            </w:tabs>
            <w:rPr>
              <w:rFonts w:asciiTheme="minorHAnsi" w:eastAsiaTheme="minorEastAsia" w:hAnsiTheme="minorHAnsi" w:cstheme="minorBidi"/>
              <w:noProof/>
              <w:szCs w:val="22"/>
              <w:lang w:eastAsia="en-GB"/>
            </w:rPr>
          </w:pPr>
          <w:hyperlink w:anchor="_Toc52974019" w:history="1">
            <w:r w:rsidR="00415B0D" w:rsidRPr="00F92CE5">
              <w:rPr>
                <w:rStyle w:val="Hyperlink"/>
                <w:noProof/>
              </w:rPr>
              <w:t>6</w:t>
            </w:r>
            <w:r w:rsidR="00415B0D">
              <w:rPr>
                <w:rFonts w:asciiTheme="minorHAnsi" w:eastAsiaTheme="minorEastAsia" w:hAnsiTheme="minorHAnsi" w:cstheme="minorBidi"/>
                <w:noProof/>
                <w:szCs w:val="22"/>
                <w:lang w:eastAsia="en-GB"/>
              </w:rPr>
              <w:tab/>
            </w:r>
            <w:r w:rsidR="00415B0D" w:rsidRPr="00F92CE5">
              <w:rPr>
                <w:rStyle w:val="Hyperlink"/>
                <w:noProof/>
              </w:rPr>
              <w:t>UM SKRIÐ Í ÍSLENSKU MALBIKI</w:t>
            </w:r>
            <w:r w:rsidR="00415B0D">
              <w:rPr>
                <w:noProof/>
                <w:webHidden/>
              </w:rPr>
              <w:tab/>
            </w:r>
            <w:r w:rsidR="00415B0D">
              <w:rPr>
                <w:noProof/>
                <w:webHidden/>
              </w:rPr>
              <w:fldChar w:fldCharType="begin"/>
            </w:r>
            <w:r w:rsidR="00415B0D">
              <w:rPr>
                <w:noProof/>
                <w:webHidden/>
              </w:rPr>
              <w:instrText xml:space="preserve"> PAGEREF _Toc52974019 \h </w:instrText>
            </w:r>
            <w:r w:rsidR="00415B0D">
              <w:rPr>
                <w:noProof/>
                <w:webHidden/>
              </w:rPr>
            </w:r>
            <w:r w:rsidR="00415B0D">
              <w:rPr>
                <w:noProof/>
                <w:webHidden/>
              </w:rPr>
              <w:fldChar w:fldCharType="separate"/>
            </w:r>
            <w:r w:rsidR="00187A2A">
              <w:rPr>
                <w:noProof/>
                <w:webHidden/>
              </w:rPr>
              <w:t>19</w:t>
            </w:r>
            <w:r w:rsidR="00415B0D">
              <w:rPr>
                <w:noProof/>
                <w:webHidden/>
              </w:rPr>
              <w:fldChar w:fldCharType="end"/>
            </w:r>
          </w:hyperlink>
        </w:p>
        <w:p w14:paraId="55E9B128" w14:textId="77777777" w:rsidR="00415B0D" w:rsidRDefault="001D42D2">
          <w:pPr>
            <w:pStyle w:val="TOC2"/>
            <w:tabs>
              <w:tab w:val="left" w:pos="880"/>
              <w:tab w:val="right" w:leader="dot" w:pos="8398"/>
            </w:tabs>
            <w:rPr>
              <w:rFonts w:asciiTheme="minorHAnsi" w:eastAsiaTheme="minorEastAsia" w:hAnsiTheme="minorHAnsi" w:cstheme="minorBidi"/>
              <w:noProof/>
              <w:szCs w:val="22"/>
              <w:lang w:eastAsia="en-GB"/>
            </w:rPr>
          </w:pPr>
          <w:hyperlink w:anchor="_Toc52974020" w:history="1">
            <w:r w:rsidR="00415B0D" w:rsidRPr="00F92CE5">
              <w:rPr>
                <w:rStyle w:val="Hyperlink"/>
                <w:noProof/>
                <w:lang w:val="is-IS"/>
              </w:rPr>
              <w:t>6.1</w:t>
            </w:r>
            <w:r w:rsidR="00415B0D">
              <w:rPr>
                <w:rFonts w:asciiTheme="minorHAnsi" w:eastAsiaTheme="minorEastAsia" w:hAnsiTheme="minorHAnsi" w:cstheme="minorBidi"/>
                <w:noProof/>
                <w:szCs w:val="22"/>
                <w:lang w:eastAsia="en-GB"/>
              </w:rPr>
              <w:tab/>
            </w:r>
            <w:r w:rsidR="00415B0D" w:rsidRPr="00F92CE5">
              <w:rPr>
                <w:rStyle w:val="Hyperlink"/>
                <w:noProof/>
                <w:lang w:val="is-IS"/>
              </w:rPr>
              <w:t>Inngangur</w:t>
            </w:r>
            <w:r w:rsidR="00415B0D">
              <w:rPr>
                <w:noProof/>
                <w:webHidden/>
              </w:rPr>
              <w:tab/>
            </w:r>
            <w:r w:rsidR="00415B0D">
              <w:rPr>
                <w:noProof/>
                <w:webHidden/>
              </w:rPr>
              <w:fldChar w:fldCharType="begin"/>
            </w:r>
            <w:r w:rsidR="00415B0D">
              <w:rPr>
                <w:noProof/>
                <w:webHidden/>
              </w:rPr>
              <w:instrText xml:space="preserve"> PAGEREF _Toc52974020 \h </w:instrText>
            </w:r>
            <w:r w:rsidR="00415B0D">
              <w:rPr>
                <w:noProof/>
                <w:webHidden/>
              </w:rPr>
            </w:r>
            <w:r w:rsidR="00415B0D">
              <w:rPr>
                <w:noProof/>
                <w:webHidden/>
              </w:rPr>
              <w:fldChar w:fldCharType="separate"/>
            </w:r>
            <w:r w:rsidR="00187A2A">
              <w:rPr>
                <w:noProof/>
                <w:webHidden/>
              </w:rPr>
              <w:t>19</w:t>
            </w:r>
            <w:r w:rsidR="00415B0D">
              <w:rPr>
                <w:noProof/>
                <w:webHidden/>
              </w:rPr>
              <w:fldChar w:fldCharType="end"/>
            </w:r>
          </w:hyperlink>
        </w:p>
        <w:p w14:paraId="013E346F" w14:textId="77777777" w:rsidR="00415B0D" w:rsidRDefault="001D42D2">
          <w:pPr>
            <w:pStyle w:val="TOC2"/>
            <w:tabs>
              <w:tab w:val="left" w:pos="880"/>
              <w:tab w:val="right" w:leader="dot" w:pos="8398"/>
            </w:tabs>
            <w:rPr>
              <w:rFonts w:asciiTheme="minorHAnsi" w:eastAsiaTheme="minorEastAsia" w:hAnsiTheme="minorHAnsi" w:cstheme="minorBidi"/>
              <w:noProof/>
              <w:szCs w:val="22"/>
              <w:lang w:eastAsia="en-GB"/>
            </w:rPr>
          </w:pPr>
          <w:hyperlink w:anchor="_Toc52974021" w:history="1">
            <w:r w:rsidR="00415B0D" w:rsidRPr="00F92CE5">
              <w:rPr>
                <w:rStyle w:val="Hyperlink"/>
                <w:noProof/>
                <w:lang w:val="is-IS"/>
              </w:rPr>
              <w:t>6.2</w:t>
            </w:r>
            <w:r w:rsidR="00415B0D">
              <w:rPr>
                <w:rFonts w:asciiTheme="minorHAnsi" w:eastAsiaTheme="minorEastAsia" w:hAnsiTheme="minorHAnsi" w:cstheme="minorBidi"/>
                <w:noProof/>
                <w:szCs w:val="22"/>
                <w:lang w:eastAsia="en-GB"/>
              </w:rPr>
              <w:tab/>
            </w:r>
            <w:r w:rsidR="00415B0D" w:rsidRPr="00F92CE5">
              <w:rPr>
                <w:rStyle w:val="Hyperlink"/>
                <w:noProof/>
                <w:lang w:val="is-IS"/>
              </w:rPr>
              <w:t>Mælingar á skriði í rannsóknastofu</w:t>
            </w:r>
            <w:r w:rsidR="00415B0D">
              <w:rPr>
                <w:noProof/>
                <w:webHidden/>
              </w:rPr>
              <w:tab/>
            </w:r>
            <w:r w:rsidR="00415B0D">
              <w:rPr>
                <w:noProof/>
                <w:webHidden/>
              </w:rPr>
              <w:fldChar w:fldCharType="begin"/>
            </w:r>
            <w:r w:rsidR="00415B0D">
              <w:rPr>
                <w:noProof/>
                <w:webHidden/>
              </w:rPr>
              <w:instrText xml:space="preserve"> PAGEREF _Toc52974021 \h </w:instrText>
            </w:r>
            <w:r w:rsidR="00415B0D">
              <w:rPr>
                <w:noProof/>
                <w:webHidden/>
              </w:rPr>
            </w:r>
            <w:r w:rsidR="00415B0D">
              <w:rPr>
                <w:noProof/>
                <w:webHidden/>
              </w:rPr>
              <w:fldChar w:fldCharType="separate"/>
            </w:r>
            <w:r w:rsidR="00187A2A">
              <w:rPr>
                <w:noProof/>
                <w:webHidden/>
              </w:rPr>
              <w:t>19</w:t>
            </w:r>
            <w:r w:rsidR="00415B0D">
              <w:rPr>
                <w:noProof/>
                <w:webHidden/>
              </w:rPr>
              <w:fldChar w:fldCharType="end"/>
            </w:r>
          </w:hyperlink>
        </w:p>
        <w:p w14:paraId="4A6E4530" w14:textId="77777777" w:rsidR="00415B0D" w:rsidRDefault="001D42D2">
          <w:pPr>
            <w:pStyle w:val="TOC2"/>
            <w:tabs>
              <w:tab w:val="left" w:pos="880"/>
              <w:tab w:val="right" w:leader="dot" w:pos="8398"/>
            </w:tabs>
            <w:rPr>
              <w:rFonts w:asciiTheme="minorHAnsi" w:eastAsiaTheme="minorEastAsia" w:hAnsiTheme="minorHAnsi" w:cstheme="minorBidi"/>
              <w:noProof/>
              <w:szCs w:val="22"/>
              <w:lang w:eastAsia="en-GB"/>
            </w:rPr>
          </w:pPr>
          <w:hyperlink w:anchor="_Toc52974022" w:history="1">
            <w:r w:rsidR="00415B0D" w:rsidRPr="00F92CE5">
              <w:rPr>
                <w:rStyle w:val="Hyperlink"/>
                <w:noProof/>
                <w:lang w:val="is-IS"/>
              </w:rPr>
              <w:t>6.3</w:t>
            </w:r>
            <w:r w:rsidR="00415B0D">
              <w:rPr>
                <w:rFonts w:asciiTheme="minorHAnsi" w:eastAsiaTheme="minorEastAsia" w:hAnsiTheme="minorHAnsi" w:cstheme="minorBidi"/>
                <w:noProof/>
                <w:szCs w:val="22"/>
                <w:lang w:eastAsia="en-GB"/>
              </w:rPr>
              <w:tab/>
            </w:r>
            <w:r w:rsidR="00415B0D" w:rsidRPr="00F92CE5">
              <w:rPr>
                <w:rStyle w:val="Hyperlink"/>
                <w:noProof/>
                <w:lang w:val="is-IS"/>
              </w:rPr>
              <w:t>Mælingar á skriði í vegi</w:t>
            </w:r>
            <w:r w:rsidR="00415B0D">
              <w:rPr>
                <w:noProof/>
                <w:webHidden/>
              </w:rPr>
              <w:tab/>
            </w:r>
            <w:r w:rsidR="00415B0D">
              <w:rPr>
                <w:noProof/>
                <w:webHidden/>
              </w:rPr>
              <w:fldChar w:fldCharType="begin"/>
            </w:r>
            <w:r w:rsidR="00415B0D">
              <w:rPr>
                <w:noProof/>
                <w:webHidden/>
              </w:rPr>
              <w:instrText xml:space="preserve"> PAGEREF _Toc52974022 \h </w:instrText>
            </w:r>
            <w:r w:rsidR="00415B0D">
              <w:rPr>
                <w:noProof/>
                <w:webHidden/>
              </w:rPr>
            </w:r>
            <w:r w:rsidR="00415B0D">
              <w:rPr>
                <w:noProof/>
                <w:webHidden/>
              </w:rPr>
              <w:fldChar w:fldCharType="separate"/>
            </w:r>
            <w:r w:rsidR="00187A2A">
              <w:rPr>
                <w:noProof/>
                <w:webHidden/>
              </w:rPr>
              <w:t>20</w:t>
            </w:r>
            <w:r w:rsidR="00415B0D">
              <w:rPr>
                <w:noProof/>
                <w:webHidden/>
              </w:rPr>
              <w:fldChar w:fldCharType="end"/>
            </w:r>
          </w:hyperlink>
        </w:p>
        <w:p w14:paraId="03612B7E" w14:textId="77777777" w:rsidR="00415B0D" w:rsidRDefault="001D42D2">
          <w:pPr>
            <w:pStyle w:val="TOC2"/>
            <w:tabs>
              <w:tab w:val="left" w:pos="880"/>
              <w:tab w:val="right" w:leader="dot" w:pos="8398"/>
            </w:tabs>
            <w:rPr>
              <w:rFonts w:asciiTheme="minorHAnsi" w:eastAsiaTheme="minorEastAsia" w:hAnsiTheme="minorHAnsi" w:cstheme="minorBidi"/>
              <w:noProof/>
              <w:szCs w:val="22"/>
              <w:lang w:eastAsia="en-GB"/>
            </w:rPr>
          </w:pPr>
          <w:hyperlink w:anchor="_Toc52974023" w:history="1">
            <w:r w:rsidR="00415B0D" w:rsidRPr="00F92CE5">
              <w:rPr>
                <w:rStyle w:val="Hyperlink"/>
                <w:noProof/>
                <w:lang w:val="is-IS"/>
              </w:rPr>
              <w:t>6.4</w:t>
            </w:r>
            <w:r w:rsidR="00415B0D">
              <w:rPr>
                <w:rFonts w:asciiTheme="minorHAnsi" w:eastAsiaTheme="minorEastAsia" w:hAnsiTheme="minorHAnsi" w:cstheme="minorBidi"/>
                <w:noProof/>
                <w:szCs w:val="22"/>
                <w:lang w:eastAsia="en-GB"/>
              </w:rPr>
              <w:tab/>
            </w:r>
            <w:r w:rsidR="00415B0D" w:rsidRPr="00F92CE5">
              <w:rPr>
                <w:rStyle w:val="Hyperlink"/>
                <w:noProof/>
                <w:lang w:val="is-IS"/>
              </w:rPr>
              <w:t>Aðrar vísbendingar með og á móti skriði</w:t>
            </w:r>
            <w:r w:rsidR="00415B0D">
              <w:rPr>
                <w:noProof/>
                <w:webHidden/>
              </w:rPr>
              <w:tab/>
            </w:r>
            <w:r w:rsidR="00415B0D">
              <w:rPr>
                <w:noProof/>
                <w:webHidden/>
              </w:rPr>
              <w:fldChar w:fldCharType="begin"/>
            </w:r>
            <w:r w:rsidR="00415B0D">
              <w:rPr>
                <w:noProof/>
                <w:webHidden/>
              </w:rPr>
              <w:instrText xml:space="preserve"> PAGEREF _Toc52974023 \h </w:instrText>
            </w:r>
            <w:r w:rsidR="00415B0D">
              <w:rPr>
                <w:noProof/>
                <w:webHidden/>
              </w:rPr>
            </w:r>
            <w:r w:rsidR="00415B0D">
              <w:rPr>
                <w:noProof/>
                <w:webHidden/>
              </w:rPr>
              <w:fldChar w:fldCharType="separate"/>
            </w:r>
            <w:r w:rsidR="00187A2A">
              <w:rPr>
                <w:noProof/>
                <w:webHidden/>
              </w:rPr>
              <w:t>21</w:t>
            </w:r>
            <w:r w:rsidR="00415B0D">
              <w:rPr>
                <w:noProof/>
                <w:webHidden/>
              </w:rPr>
              <w:fldChar w:fldCharType="end"/>
            </w:r>
          </w:hyperlink>
        </w:p>
        <w:p w14:paraId="41CE32AD" w14:textId="77777777" w:rsidR="00415B0D" w:rsidRDefault="001D42D2">
          <w:pPr>
            <w:pStyle w:val="TOC2"/>
            <w:tabs>
              <w:tab w:val="left" w:pos="880"/>
              <w:tab w:val="right" w:leader="dot" w:pos="8398"/>
            </w:tabs>
            <w:rPr>
              <w:rFonts w:asciiTheme="minorHAnsi" w:eastAsiaTheme="minorEastAsia" w:hAnsiTheme="minorHAnsi" w:cstheme="minorBidi"/>
              <w:noProof/>
              <w:szCs w:val="22"/>
              <w:lang w:eastAsia="en-GB"/>
            </w:rPr>
          </w:pPr>
          <w:hyperlink w:anchor="_Toc52974024" w:history="1">
            <w:r w:rsidR="00415B0D" w:rsidRPr="00F92CE5">
              <w:rPr>
                <w:rStyle w:val="Hyperlink"/>
                <w:noProof/>
                <w:lang w:val="is-IS"/>
              </w:rPr>
              <w:t>6.5</w:t>
            </w:r>
            <w:r w:rsidR="00415B0D">
              <w:rPr>
                <w:rFonts w:asciiTheme="minorHAnsi" w:eastAsiaTheme="minorEastAsia" w:hAnsiTheme="minorHAnsi" w:cstheme="minorBidi"/>
                <w:noProof/>
                <w:szCs w:val="22"/>
                <w:lang w:eastAsia="en-GB"/>
              </w:rPr>
              <w:tab/>
            </w:r>
            <w:r w:rsidR="00415B0D" w:rsidRPr="00F92CE5">
              <w:rPr>
                <w:rStyle w:val="Hyperlink"/>
                <w:noProof/>
                <w:lang w:val="is-IS"/>
              </w:rPr>
              <w:t>Merki um skrið í Reykjavík eftir sumarið 2007</w:t>
            </w:r>
            <w:r w:rsidR="00415B0D">
              <w:rPr>
                <w:noProof/>
                <w:webHidden/>
              </w:rPr>
              <w:tab/>
            </w:r>
            <w:r w:rsidR="00415B0D">
              <w:rPr>
                <w:noProof/>
                <w:webHidden/>
              </w:rPr>
              <w:fldChar w:fldCharType="begin"/>
            </w:r>
            <w:r w:rsidR="00415B0D">
              <w:rPr>
                <w:noProof/>
                <w:webHidden/>
              </w:rPr>
              <w:instrText xml:space="preserve"> PAGEREF _Toc52974024 \h </w:instrText>
            </w:r>
            <w:r w:rsidR="00415B0D">
              <w:rPr>
                <w:noProof/>
                <w:webHidden/>
              </w:rPr>
            </w:r>
            <w:r w:rsidR="00415B0D">
              <w:rPr>
                <w:noProof/>
                <w:webHidden/>
              </w:rPr>
              <w:fldChar w:fldCharType="separate"/>
            </w:r>
            <w:r w:rsidR="00187A2A">
              <w:rPr>
                <w:noProof/>
                <w:webHidden/>
              </w:rPr>
              <w:t>21</w:t>
            </w:r>
            <w:r w:rsidR="00415B0D">
              <w:rPr>
                <w:noProof/>
                <w:webHidden/>
              </w:rPr>
              <w:fldChar w:fldCharType="end"/>
            </w:r>
          </w:hyperlink>
        </w:p>
        <w:p w14:paraId="1E7AEFA4" w14:textId="77777777" w:rsidR="00415B0D" w:rsidRDefault="001D42D2">
          <w:pPr>
            <w:pStyle w:val="TOC2"/>
            <w:tabs>
              <w:tab w:val="left" w:pos="880"/>
              <w:tab w:val="right" w:leader="dot" w:pos="8398"/>
            </w:tabs>
            <w:rPr>
              <w:rFonts w:asciiTheme="minorHAnsi" w:eastAsiaTheme="minorEastAsia" w:hAnsiTheme="minorHAnsi" w:cstheme="minorBidi"/>
              <w:noProof/>
              <w:szCs w:val="22"/>
              <w:lang w:eastAsia="en-GB"/>
            </w:rPr>
          </w:pPr>
          <w:hyperlink w:anchor="_Toc52974025" w:history="1">
            <w:r w:rsidR="00415B0D" w:rsidRPr="00F92CE5">
              <w:rPr>
                <w:rStyle w:val="Hyperlink"/>
                <w:noProof/>
                <w:lang w:val="is-IS"/>
              </w:rPr>
              <w:t>6.6</w:t>
            </w:r>
            <w:r w:rsidR="00415B0D">
              <w:rPr>
                <w:rFonts w:asciiTheme="minorHAnsi" w:eastAsiaTheme="minorEastAsia" w:hAnsiTheme="minorHAnsi" w:cstheme="minorBidi"/>
                <w:noProof/>
                <w:szCs w:val="22"/>
                <w:lang w:eastAsia="en-GB"/>
              </w:rPr>
              <w:tab/>
            </w:r>
            <w:r w:rsidR="00415B0D" w:rsidRPr="00F92CE5">
              <w:rPr>
                <w:rStyle w:val="Hyperlink"/>
                <w:noProof/>
                <w:lang w:val="is-IS"/>
              </w:rPr>
              <w:t>Er íslenskum slitlögum hætt við skriði?</w:t>
            </w:r>
            <w:r w:rsidR="00415B0D">
              <w:rPr>
                <w:noProof/>
                <w:webHidden/>
              </w:rPr>
              <w:tab/>
            </w:r>
            <w:r w:rsidR="00415B0D">
              <w:rPr>
                <w:noProof/>
                <w:webHidden/>
              </w:rPr>
              <w:fldChar w:fldCharType="begin"/>
            </w:r>
            <w:r w:rsidR="00415B0D">
              <w:rPr>
                <w:noProof/>
                <w:webHidden/>
              </w:rPr>
              <w:instrText xml:space="preserve"> PAGEREF _Toc52974025 \h </w:instrText>
            </w:r>
            <w:r w:rsidR="00415B0D">
              <w:rPr>
                <w:noProof/>
                <w:webHidden/>
              </w:rPr>
            </w:r>
            <w:r w:rsidR="00415B0D">
              <w:rPr>
                <w:noProof/>
                <w:webHidden/>
              </w:rPr>
              <w:fldChar w:fldCharType="separate"/>
            </w:r>
            <w:r w:rsidR="00187A2A">
              <w:rPr>
                <w:noProof/>
                <w:webHidden/>
              </w:rPr>
              <w:t>21</w:t>
            </w:r>
            <w:r w:rsidR="00415B0D">
              <w:rPr>
                <w:noProof/>
                <w:webHidden/>
              </w:rPr>
              <w:fldChar w:fldCharType="end"/>
            </w:r>
          </w:hyperlink>
        </w:p>
        <w:p w14:paraId="6D48236B" w14:textId="77777777" w:rsidR="00415B0D" w:rsidRDefault="001D42D2">
          <w:pPr>
            <w:pStyle w:val="TOC2"/>
            <w:tabs>
              <w:tab w:val="left" w:pos="880"/>
              <w:tab w:val="right" w:leader="dot" w:pos="8398"/>
            </w:tabs>
            <w:rPr>
              <w:rFonts w:asciiTheme="minorHAnsi" w:eastAsiaTheme="minorEastAsia" w:hAnsiTheme="minorHAnsi" w:cstheme="minorBidi"/>
              <w:noProof/>
              <w:szCs w:val="22"/>
              <w:lang w:eastAsia="en-GB"/>
            </w:rPr>
          </w:pPr>
          <w:hyperlink w:anchor="_Toc52974026" w:history="1">
            <w:r w:rsidR="00415B0D" w:rsidRPr="00F92CE5">
              <w:rPr>
                <w:rStyle w:val="Hyperlink"/>
                <w:noProof/>
                <w:lang w:val="is-IS"/>
              </w:rPr>
              <w:t>6.7</w:t>
            </w:r>
            <w:r w:rsidR="00415B0D">
              <w:rPr>
                <w:rFonts w:asciiTheme="minorHAnsi" w:eastAsiaTheme="minorEastAsia" w:hAnsiTheme="minorHAnsi" w:cstheme="minorBidi"/>
                <w:noProof/>
                <w:szCs w:val="22"/>
                <w:lang w:eastAsia="en-GB"/>
              </w:rPr>
              <w:tab/>
            </w:r>
            <w:r w:rsidR="00415B0D" w:rsidRPr="00F92CE5">
              <w:rPr>
                <w:rStyle w:val="Hyperlink"/>
                <w:noProof/>
                <w:lang w:val="is-IS"/>
              </w:rPr>
              <w:t>Ráðstafanir til að minnka skrið</w:t>
            </w:r>
            <w:r w:rsidR="00415B0D">
              <w:rPr>
                <w:noProof/>
                <w:webHidden/>
              </w:rPr>
              <w:tab/>
            </w:r>
            <w:r w:rsidR="00415B0D">
              <w:rPr>
                <w:noProof/>
                <w:webHidden/>
              </w:rPr>
              <w:fldChar w:fldCharType="begin"/>
            </w:r>
            <w:r w:rsidR="00415B0D">
              <w:rPr>
                <w:noProof/>
                <w:webHidden/>
              </w:rPr>
              <w:instrText xml:space="preserve"> PAGEREF _Toc52974026 \h </w:instrText>
            </w:r>
            <w:r w:rsidR="00415B0D">
              <w:rPr>
                <w:noProof/>
                <w:webHidden/>
              </w:rPr>
            </w:r>
            <w:r w:rsidR="00415B0D">
              <w:rPr>
                <w:noProof/>
                <w:webHidden/>
              </w:rPr>
              <w:fldChar w:fldCharType="separate"/>
            </w:r>
            <w:r w:rsidR="00187A2A">
              <w:rPr>
                <w:noProof/>
                <w:webHidden/>
              </w:rPr>
              <w:t>21</w:t>
            </w:r>
            <w:r w:rsidR="00415B0D">
              <w:rPr>
                <w:noProof/>
                <w:webHidden/>
              </w:rPr>
              <w:fldChar w:fldCharType="end"/>
            </w:r>
          </w:hyperlink>
        </w:p>
        <w:p w14:paraId="0383AC99" w14:textId="77777777" w:rsidR="00415B0D" w:rsidRDefault="001D42D2">
          <w:pPr>
            <w:pStyle w:val="TOC2"/>
            <w:tabs>
              <w:tab w:val="left" w:pos="880"/>
              <w:tab w:val="right" w:leader="dot" w:pos="8398"/>
            </w:tabs>
            <w:rPr>
              <w:rFonts w:asciiTheme="minorHAnsi" w:eastAsiaTheme="minorEastAsia" w:hAnsiTheme="minorHAnsi" w:cstheme="minorBidi"/>
              <w:noProof/>
              <w:szCs w:val="22"/>
              <w:lang w:eastAsia="en-GB"/>
            </w:rPr>
          </w:pPr>
          <w:hyperlink w:anchor="_Toc52974027" w:history="1">
            <w:r w:rsidR="00415B0D" w:rsidRPr="00F92CE5">
              <w:rPr>
                <w:rStyle w:val="Hyperlink"/>
                <w:noProof/>
                <w:lang w:val="is-IS"/>
              </w:rPr>
              <w:t>6.8</w:t>
            </w:r>
            <w:r w:rsidR="00415B0D">
              <w:rPr>
                <w:rFonts w:asciiTheme="minorHAnsi" w:eastAsiaTheme="minorEastAsia" w:hAnsiTheme="minorHAnsi" w:cstheme="minorBidi"/>
                <w:noProof/>
                <w:szCs w:val="22"/>
                <w:lang w:eastAsia="en-GB"/>
              </w:rPr>
              <w:tab/>
            </w:r>
            <w:r w:rsidR="00415B0D" w:rsidRPr="00F92CE5">
              <w:rPr>
                <w:rStyle w:val="Hyperlink"/>
                <w:noProof/>
                <w:lang w:val="is-IS"/>
              </w:rPr>
              <w:t>Ályktanir</w:t>
            </w:r>
            <w:r w:rsidR="00415B0D">
              <w:rPr>
                <w:noProof/>
                <w:webHidden/>
              </w:rPr>
              <w:tab/>
            </w:r>
            <w:r w:rsidR="00415B0D">
              <w:rPr>
                <w:noProof/>
                <w:webHidden/>
              </w:rPr>
              <w:fldChar w:fldCharType="begin"/>
            </w:r>
            <w:r w:rsidR="00415B0D">
              <w:rPr>
                <w:noProof/>
                <w:webHidden/>
              </w:rPr>
              <w:instrText xml:space="preserve"> PAGEREF _Toc52974027 \h </w:instrText>
            </w:r>
            <w:r w:rsidR="00415B0D">
              <w:rPr>
                <w:noProof/>
                <w:webHidden/>
              </w:rPr>
            </w:r>
            <w:r w:rsidR="00415B0D">
              <w:rPr>
                <w:noProof/>
                <w:webHidden/>
              </w:rPr>
              <w:fldChar w:fldCharType="separate"/>
            </w:r>
            <w:r w:rsidR="00187A2A">
              <w:rPr>
                <w:noProof/>
                <w:webHidden/>
              </w:rPr>
              <w:t>22</w:t>
            </w:r>
            <w:r w:rsidR="00415B0D">
              <w:rPr>
                <w:noProof/>
                <w:webHidden/>
              </w:rPr>
              <w:fldChar w:fldCharType="end"/>
            </w:r>
          </w:hyperlink>
        </w:p>
        <w:p w14:paraId="6D810C45" w14:textId="77777777" w:rsidR="00415B0D" w:rsidRDefault="001D42D2">
          <w:pPr>
            <w:pStyle w:val="TOC2"/>
            <w:tabs>
              <w:tab w:val="right" w:leader="dot" w:pos="8398"/>
            </w:tabs>
            <w:rPr>
              <w:rFonts w:asciiTheme="minorHAnsi" w:eastAsiaTheme="minorEastAsia" w:hAnsiTheme="minorHAnsi" w:cstheme="minorBidi"/>
              <w:noProof/>
              <w:szCs w:val="22"/>
              <w:lang w:eastAsia="en-GB"/>
            </w:rPr>
          </w:pPr>
          <w:hyperlink w:anchor="_Toc52974028" w:history="1">
            <w:r w:rsidR="00415B0D" w:rsidRPr="00F92CE5">
              <w:rPr>
                <w:rStyle w:val="Hyperlink"/>
                <w:noProof/>
                <w:lang w:val="is-IS"/>
              </w:rPr>
              <w:t>ATHUGASEMD RITSTJÓRNAR VIÐ KAFLA 6 Í JANÚAR 2020</w:t>
            </w:r>
            <w:r w:rsidR="00415B0D">
              <w:rPr>
                <w:noProof/>
                <w:webHidden/>
              </w:rPr>
              <w:tab/>
            </w:r>
            <w:r w:rsidR="00415B0D">
              <w:rPr>
                <w:noProof/>
                <w:webHidden/>
              </w:rPr>
              <w:fldChar w:fldCharType="begin"/>
            </w:r>
            <w:r w:rsidR="00415B0D">
              <w:rPr>
                <w:noProof/>
                <w:webHidden/>
              </w:rPr>
              <w:instrText xml:space="preserve"> PAGEREF _Toc52974028 \h </w:instrText>
            </w:r>
            <w:r w:rsidR="00415B0D">
              <w:rPr>
                <w:noProof/>
                <w:webHidden/>
              </w:rPr>
            </w:r>
            <w:r w:rsidR="00415B0D">
              <w:rPr>
                <w:noProof/>
                <w:webHidden/>
              </w:rPr>
              <w:fldChar w:fldCharType="separate"/>
            </w:r>
            <w:r w:rsidR="00187A2A">
              <w:rPr>
                <w:noProof/>
                <w:webHidden/>
              </w:rPr>
              <w:t>23</w:t>
            </w:r>
            <w:r w:rsidR="00415B0D">
              <w:rPr>
                <w:noProof/>
                <w:webHidden/>
              </w:rPr>
              <w:fldChar w:fldCharType="end"/>
            </w:r>
          </w:hyperlink>
        </w:p>
        <w:p w14:paraId="0AC0B718" w14:textId="77777777" w:rsidR="00415B0D" w:rsidRDefault="001D42D2">
          <w:pPr>
            <w:pStyle w:val="TOC1"/>
            <w:tabs>
              <w:tab w:val="left" w:pos="440"/>
              <w:tab w:val="right" w:leader="dot" w:pos="8398"/>
            </w:tabs>
            <w:rPr>
              <w:rFonts w:asciiTheme="minorHAnsi" w:eastAsiaTheme="minorEastAsia" w:hAnsiTheme="minorHAnsi" w:cstheme="minorBidi"/>
              <w:noProof/>
              <w:szCs w:val="22"/>
              <w:lang w:eastAsia="en-GB"/>
            </w:rPr>
          </w:pPr>
          <w:hyperlink w:anchor="_Toc52974029" w:history="1">
            <w:r w:rsidR="00415B0D" w:rsidRPr="00F92CE5">
              <w:rPr>
                <w:rStyle w:val="Hyperlink"/>
                <w:noProof/>
              </w:rPr>
              <w:t>7</w:t>
            </w:r>
            <w:r w:rsidR="00415B0D">
              <w:rPr>
                <w:rFonts w:asciiTheme="minorHAnsi" w:eastAsiaTheme="minorEastAsia" w:hAnsiTheme="minorHAnsi" w:cstheme="minorBidi"/>
                <w:noProof/>
                <w:szCs w:val="22"/>
                <w:lang w:eastAsia="en-GB"/>
              </w:rPr>
              <w:tab/>
            </w:r>
            <w:r w:rsidR="00415B0D" w:rsidRPr="00F92CE5">
              <w:rPr>
                <w:rStyle w:val="Hyperlink"/>
                <w:noProof/>
              </w:rPr>
              <w:t>FRÓÐLEIKUR UM FESTU OG SIG</w:t>
            </w:r>
            <w:r w:rsidR="00415B0D">
              <w:rPr>
                <w:noProof/>
                <w:webHidden/>
              </w:rPr>
              <w:tab/>
            </w:r>
            <w:r w:rsidR="00415B0D">
              <w:rPr>
                <w:noProof/>
                <w:webHidden/>
              </w:rPr>
              <w:fldChar w:fldCharType="begin"/>
            </w:r>
            <w:r w:rsidR="00415B0D">
              <w:rPr>
                <w:noProof/>
                <w:webHidden/>
              </w:rPr>
              <w:instrText xml:space="preserve"> PAGEREF _Toc52974029 \h </w:instrText>
            </w:r>
            <w:r w:rsidR="00415B0D">
              <w:rPr>
                <w:noProof/>
                <w:webHidden/>
              </w:rPr>
            </w:r>
            <w:r w:rsidR="00415B0D">
              <w:rPr>
                <w:noProof/>
                <w:webHidden/>
              </w:rPr>
              <w:fldChar w:fldCharType="separate"/>
            </w:r>
            <w:r w:rsidR="00187A2A">
              <w:rPr>
                <w:noProof/>
                <w:webHidden/>
              </w:rPr>
              <w:t>23</w:t>
            </w:r>
            <w:r w:rsidR="00415B0D">
              <w:rPr>
                <w:noProof/>
                <w:webHidden/>
              </w:rPr>
              <w:fldChar w:fldCharType="end"/>
            </w:r>
          </w:hyperlink>
        </w:p>
        <w:p w14:paraId="1E3CC94B" w14:textId="77777777" w:rsidR="00415B0D" w:rsidRDefault="001D42D2">
          <w:pPr>
            <w:pStyle w:val="TOC1"/>
            <w:tabs>
              <w:tab w:val="left" w:pos="440"/>
              <w:tab w:val="right" w:leader="dot" w:pos="8398"/>
            </w:tabs>
            <w:rPr>
              <w:rFonts w:asciiTheme="minorHAnsi" w:eastAsiaTheme="minorEastAsia" w:hAnsiTheme="minorHAnsi" w:cstheme="minorBidi"/>
              <w:noProof/>
              <w:szCs w:val="22"/>
              <w:lang w:eastAsia="en-GB"/>
            </w:rPr>
          </w:pPr>
          <w:hyperlink w:anchor="_Toc52974030" w:history="1">
            <w:r w:rsidR="00415B0D" w:rsidRPr="00F92CE5">
              <w:rPr>
                <w:rStyle w:val="Hyperlink"/>
                <w:noProof/>
                <w:lang w:val="is-IS"/>
              </w:rPr>
              <w:t>8</w:t>
            </w:r>
            <w:r w:rsidR="00415B0D">
              <w:rPr>
                <w:rFonts w:asciiTheme="minorHAnsi" w:eastAsiaTheme="minorEastAsia" w:hAnsiTheme="minorHAnsi" w:cstheme="minorBidi"/>
                <w:noProof/>
                <w:szCs w:val="22"/>
                <w:lang w:eastAsia="en-GB"/>
              </w:rPr>
              <w:tab/>
            </w:r>
            <w:r w:rsidR="00415B0D" w:rsidRPr="00F92CE5">
              <w:rPr>
                <w:rStyle w:val="Hyperlink"/>
                <w:noProof/>
                <w:lang w:val="is-IS"/>
              </w:rPr>
              <w:t>HOLRÝMD Í BURÐARLAGSMALBIKI</w:t>
            </w:r>
            <w:r w:rsidR="00415B0D">
              <w:rPr>
                <w:noProof/>
                <w:webHidden/>
              </w:rPr>
              <w:tab/>
            </w:r>
            <w:r w:rsidR="00415B0D">
              <w:rPr>
                <w:noProof/>
                <w:webHidden/>
              </w:rPr>
              <w:fldChar w:fldCharType="begin"/>
            </w:r>
            <w:r w:rsidR="00415B0D">
              <w:rPr>
                <w:noProof/>
                <w:webHidden/>
              </w:rPr>
              <w:instrText xml:space="preserve"> PAGEREF _Toc52974030 \h </w:instrText>
            </w:r>
            <w:r w:rsidR="00415B0D">
              <w:rPr>
                <w:noProof/>
                <w:webHidden/>
              </w:rPr>
            </w:r>
            <w:r w:rsidR="00415B0D">
              <w:rPr>
                <w:noProof/>
                <w:webHidden/>
              </w:rPr>
              <w:fldChar w:fldCharType="separate"/>
            </w:r>
            <w:r w:rsidR="00187A2A">
              <w:rPr>
                <w:noProof/>
                <w:webHidden/>
              </w:rPr>
              <w:t>26</w:t>
            </w:r>
            <w:r w:rsidR="00415B0D">
              <w:rPr>
                <w:noProof/>
                <w:webHidden/>
              </w:rPr>
              <w:fldChar w:fldCharType="end"/>
            </w:r>
          </w:hyperlink>
        </w:p>
        <w:p w14:paraId="1D031738" w14:textId="77777777" w:rsidR="00415B0D" w:rsidRDefault="001D42D2">
          <w:pPr>
            <w:pStyle w:val="TOC1"/>
            <w:tabs>
              <w:tab w:val="left" w:pos="440"/>
              <w:tab w:val="right" w:leader="dot" w:pos="8398"/>
            </w:tabs>
            <w:rPr>
              <w:rFonts w:asciiTheme="minorHAnsi" w:eastAsiaTheme="minorEastAsia" w:hAnsiTheme="minorHAnsi" w:cstheme="minorBidi"/>
              <w:noProof/>
              <w:szCs w:val="22"/>
              <w:lang w:eastAsia="en-GB"/>
            </w:rPr>
          </w:pPr>
          <w:hyperlink w:anchor="_Toc52974031" w:history="1">
            <w:r w:rsidR="00415B0D" w:rsidRPr="00F92CE5">
              <w:rPr>
                <w:rStyle w:val="Hyperlink"/>
                <w:noProof/>
                <w:lang w:val="is-IS"/>
              </w:rPr>
              <w:t>9</w:t>
            </w:r>
            <w:r w:rsidR="00415B0D">
              <w:rPr>
                <w:rFonts w:asciiTheme="minorHAnsi" w:eastAsiaTheme="minorEastAsia" w:hAnsiTheme="minorHAnsi" w:cstheme="minorBidi"/>
                <w:noProof/>
                <w:szCs w:val="22"/>
                <w:lang w:eastAsia="en-GB"/>
              </w:rPr>
              <w:tab/>
            </w:r>
            <w:r w:rsidR="00415B0D" w:rsidRPr="00F92CE5">
              <w:rPr>
                <w:rStyle w:val="Hyperlink"/>
                <w:noProof/>
                <w:lang w:val="is-IS"/>
              </w:rPr>
              <w:t>FRÓÐLEIKUR UM HOLRÝMD OG ÞJÖPPUNARHLUTFALL</w:t>
            </w:r>
            <w:r w:rsidR="00415B0D">
              <w:rPr>
                <w:noProof/>
                <w:webHidden/>
              </w:rPr>
              <w:tab/>
            </w:r>
            <w:r w:rsidR="00415B0D">
              <w:rPr>
                <w:noProof/>
                <w:webHidden/>
              </w:rPr>
              <w:fldChar w:fldCharType="begin"/>
            </w:r>
            <w:r w:rsidR="00415B0D">
              <w:rPr>
                <w:noProof/>
                <w:webHidden/>
              </w:rPr>
              <w:instrText xml:space="preserve"> PAGEREF _Toc52974031 \h </w:instrText>
            </w:r>
            <w:r w:rsidR="00415B0D">
              <w:rPr>
                <w:noProof/>
                <w:webHidden/>
              </w:rPr>
            </w:r>
            <w:r w:rsidR="00415B0D">
              <w:rPr>
                <w:noProof/>
                <w:webHidden/>
              </w:rPr>
              <w:fldChar w:fldCharType="separate"/>
            </w:r>
            <w:r w:rsidR="00187A2A">
              <w:rPr>
                <w:noProof/>
                <w:webHidden/>
              </w:rPr>
              <w:t>28</w:t>
            </w:r>
            <w:r w:rsidR="00415B0D">
              <w:rPr>
                <w:noProof/>
                <w:webHidden/>
              </w:rPr>
              <w:fldChar w:fldCharType="end"/>
            </w:r>
          </w:hyperlink>
        </w:p>
        <w:p w14:paraId="1A9E7213" w14:textId="77777777" w:rsidR="00415B0D" w:rsidRDefault="001D42D2">
          <w:pPr>
            <w:pStyle w:val="TOC1"/>
            <w:tabs>
              <w:tab w:val="left" w:pos="660"/>
              <w:tab w:val="right" w:leader="dot" w:pos="8398"/>
            </w:tabs>
            <w:rPr>
              <w:rFonts w:asciiTheme="minorHAnsi" w:eastAsiaTheme="minorEastAsia" w:hAnsiTheme="minorHAnsi" w:cstheme="minorBidi"/>
              <w:noProof/>
              <w:szCs w:val="22"/>
              <w:lang w:eastAsia="en-GB"/>
            </w:rPr>
          </w:pPr>
          <w:hyperlink w:anchor="_Toc52974032" w:history="1">
            <w:r w:rsidR="00415B0D" w:rsidRPr="00F92CE5">
              <w:rPr>
                <w:rStyle w:val="Hyperlink"/>
                <w:noProof/>
                <w:lang w:val="is-IS"/>
              </w:rPr>
              <w:t>10</w:t>
            </w:r>
            <w:r w:rsidR="00415B0D">
              <w:rPr>
                <w:rFonts w:asciiTheme="minorHAnsi" w:eastAsiaTheme="minorEastAsia" w:hAnsiTheme="minorHAnsi" w:cstheme="minorBidi"/>
                <w:noProof/>
                <w:szCs w:val="22"/>
                <w:lang w:eastAsia="en-GB"/>
              </w:rPr>
              <w:tab/>
            </w:r>
            <w:r w:rsidR="00415B0D" w:rsidRPr="00F92CE5">
              <w:rPr>
                <w:rStyle w:val="Hyperlink"/>
                <w:noProof/>
                <w:lang w:val="is-IS"/>
              </w:rPr>
              <w:t>ÞJÖPPUNARKRÖFUR FYRIR MALBIK</w:t>
            </w:r>
            <w:r w:rsidR="00415B0D">
              <w:rPr>
                <w:noProof/>
                <w:webHidden/>
              </w:rPr>
              <w:tab/>
            </w:r>
            <w:r w:rsidR="00415B0D">
              <w:rPr>
                <w:noProof/>
                <w:webHidden/>
              </w:rPr>
              <w:fldChar w:fldCharType="begin"/>
            </w:r>
            <w:r w:rsidR="00415B0D">
              <w:rPr>
                <w:noProof/>
                <w:webHidden/>
              </w:rPr>
              <w:instrText xml:space="preserve"> PAGEREF _Toc52974032 \h </w:instrText>
            </w:r>
            <w:r w:rsidR="00415B0D">
              <w:rPr>
                <w:noProof/>
                <w:webHidden/>
              </w:rPr>
            </w:r>
            <w:r w:rsidR="00415B0D">
              <w:rPr>
                <w:noProof/>
                <w:webHidden/>
              </w:rPr>
              <w:fldChar w:fldCharType="separate"/>
            </w:r>
            <w:r w:rsidR="00187A2A">
              <w:rPr>
                <w:noProof/>
                <w:webHidden/>
              </w:rPr>
              <w:t>31</w:t>
            </w:r>
            <w:r w:rsidR="00415B0D">
              <w:rPr>
                <w:noProof/>
                <w:webHidden/>
              </w:rPr>
              <w:fldChar w:fldCharType="end"/>
            </w:r>
          </w:hyperlink>
        </w:p>
        <w:p w14:paraId="4B8AF541" w14:textId="77777777" w:rsidR="00415B0D" w:rsidRDefault="001D42D2">
          <w:pPr>
            <w:pStyle w:val="TOC1"/>
            <w:tabs>
              <w:tab w:val="left" w:pos="660"/>
              <w:tab w:val="right" w:leader="dot" w:pos="8398"/>
            </w:tabs>
            <w:rPr>
              <w:rFonts w:asciiTheme="minorHAnsi" w:eastAsiaTheme="minorEastAsia" w:hAnsiTheme="minorHAnsi" w:cstheme="minorBidi"/>
              <w:noProof/>
              <w:szCs w:val="22"/>
              <w:lang w:eastAsia="en-GB"/>
            </w:rPr>
          </w:pPr>
          <w:hyperlink w:anchor="_Toc52974033" w:history="1">
            <w:r w:rsidR="00415B0D" w:rsidRPr="00F92CE5">
              <w:rPr>
                <w:rStyle w:val="Hyperlink"/>
                <w:noProof/>
                <w:lang w:val="is-IS"/>
              </w:rPr>
              <w:t>11</w:t>
            </w:r>
            <w:r w:rsidR="00415B0D">
              <w:rPr>
                <w:rFonts w:asciiTheme="minorHAnsi" w:eastAsiaTheme="minorEastAsia" w:hAnsiTheme="minorHAnsi" w:cstheme="minorBidi"/>
                <w:noProof/>
                <w:szCs w:val="22"/>
                <w:lang w:eastAsia="en-GB"/>
              </w:rPr>
              <w:tab/>
            </w:r>
            <w:r w:rsidR="00415B0D" w:rsidRPr="00F92CE5">
              <w:rPr>
                <w:rStyle w:val="Hyperlink"/>
                <w:noProof/>
                <w:lang w:val="is-IS"/>
              </w:rPr>
              <w:t>HOLRÝMD Í STEINEFNI OG FYLLT HOLRÝMD</w:t>
            </w:r>
            <w:r w:rsidR="00415B0D">
              <w:rPr>
                <w:noProof/>
                <w:webHidden/>
              </w:rPr>
              <w:tab/>
            </w:r>
            <w:r w:rsidR="00415B0D">
              <w:rPr>
                <w:noProof/>
                <w:webHidden/>
              </w:rPr>
              <w:fldChar w:fldCharType="begin"/>
            </w:r>
            <w:r w:rsidR="00415B0D">
              <w:rPr>
                <w:noProof/>
                <w:webHidden/>
              </w:rPr>
              <w:instrText xml:space="preserve"> PAGEREF _Toc52974033 \h </w:instrText>
            </w:r>
            <w:r w:rsidR="00415B0D">
              <w:rPr>
                <w:noProof/>
                <w:webHidden/>
              </w:rPr>
            </w:r>
            <w:r w:rsidR="00415B0D">
              <w:rPr>
                <w:noProof/>
                <w:webHidden/>
              </w:rPr>
              <w:fldChar w:fldCharType="separate"/>
            </w:r>
            <w:r w:rsidR="00187A2A">
              <w:rPr>
                <w:noProof/>
                <w:webHidden/>
              </w:rPr>
              <w:t>31</w:t>
            </w:r>
            <w:r w:rsidR="00415B0D">
              <w:rPr>
                <w:noProof/>
                <w:webHidden/>
              </w:rPr>
              <w:fldChar w:fldCharType="end"/>
            </w:r>
          </w:hyperlink>
        </w:p>
        <w:p w14:paraId="2CEF9ADA" w14:textId="77777777" w:rsidR="00415B0D" w:rsidRDefault="001D42D2">
          <w:pPr>
            <w:pStyle w:val="TOC1"/>
            <w:tabs>
              <w:tab w:val="left" w:pos="660"/>
              <w:tab w:val="right" w:leader="dot" w:pos="8398"/>
            </w:tabs>
            <w:rPr>
              <w:rFonts w:asciiTheme="minorHAnsi" w:eastAsiaTheme="minorEastAsia" w:hAnsiTheme="minorHAnsi" w:cstheme="minorBidi"/>
              <w:noProof/>
              <w:szCs w:val="22"/>
              <w:lang w:eastAsia="en-GB"/>
            </w:rPr>
          </w:pPr>
          <w:hyperlink w:anchor="_Toc52974034" w:history="1">
            <w:r w:rsidR="00415B0D" w:rsidRPr="00F92CE5">
              <w:rPr>
                <w:rStyle w:val="Hyperlink"/>
                <w:noProof/>
                <w:lang w:val="is-IS"/>
              </w:rPr>
              <w:t>12</w:t>
            </w:r>
            <w:r w:rsidR="00415B0D">
              <w:rPr>
                <w:rFonts w:asciiTheme="minorHAnsi" w:eastAsiaTheme="minorEastAsia" w:hAnsiTheme="minorHAnsi" w:cstheme="minorBidi"/>
                <w:noProof/>
                <w:szCs w:val="22"/>
                <w:lang w:eastAsia="en-GB"/>
              </w:rPr>
              <w:tab/>
            </w:r>
            <w:r w:rsidR="00415B0D" w:rsidRPr="00F92CE5">
              <w:rPr>
                <w:rStyle w:val="Hyperlink"/>
                <w:noProof/>
                <w:lang w:val="is-IS"/>
              </w:rPr>
              <w:t>FRÓÐLEIKUR UM VIÐLOÐUN OG VIÐLOÐUNARPRÓF</w:t>
            </w:r>
            <w:r w:rsidR="00415B0D">
              <w:rPr>
                <w:noProof/>
                <w:webHidden/>
              </w:rPr>
              <w:tab/>
            </w:r>
            <w:r w:rsidR="00415B0D">
              <w:rPr>
                <w:noProof/>
                <w:webHidden/>
              </w:rPr>
              <w:fldChar w:fldCharType="begin"/>
            </w:r>
            <w:r w:rsidR="00415B0D">
              <w:rPr>
                <w:noProof/>
                <w:webHidden/>
              </w:rPr>
              <w:instrText xml:space="preserve"> PAGEREF _Toc52974034 \h </w:instrText>
            </w:r>
            <w:r w:rsidR="00415B0D">
              <w:rPr>
                <w:noProof/>
                <w:webHidden/>
              </w:rPr>
            </w:r>
            <w:r w:rsidR="00415B0D">
              <w:rPr>
                <w:noProof/>
                <w:webHidden/>
              </w:rPr>
              <w:fldChar w:fldCharType="separate"/>
            </w:r>
            <w:r w:rsidR="00187A2A">
              <w:rPr>
                <w:noProof/>
                <w:webHidden/>
              </w:rPr>
              <w:t>33</w:t>
            </w:r>
            <w:r w:rsidR="00415B0D">
              <w:rPr>
                <w:noProof/>
                <w:webHidden/>
              </w:rPr>
              <w:fldChar w:fldCharType="end"/>
            </w:r>
          </w:hyperlink>
        </w:p>
        <w:p w14:paraId="7F1467AC" w14:textId="77777777" w:rsidR="00415B0D" w:rsidRDefault="001D42D2">
          <w:pPr>
            <w:pStyle w:val="TOC1"/>
            <w:tabs>
              <w:tab w:val="left" w:pos="660"/>
              <w:tab w:val="right" w:leader="dot" w:pos="8398"/>
            </w:tabs>
            <w:rPr>
              <w:rFonts w:asciiTheme="minorHAnsi" w:eastAsiaTheme="minorEastAsia" w:hAnsiTheme="minorHAnsi" w:cstheme="minorBidi"/>
              <w:noProof/>
              <w:szCs w:val="22"/>
              <w:lang w:eastAsia="en-GB"/>
            </w:rPr>
          </w:pPr>
          <w:hyperlink w:anchor="_Toc52974035" w:history="1">
            <w:r w:rsidR="00415B0D" w:rsidRPr="00F92CE5">
              <w:rPr>
                <w:rStyle w:val="Hyperlink"/>
                <w:noProof/>
                <w:lang w:val="is-IS"/>
              </w:rPr>
              <w:t>13</w:t>
            </w:r>
            <w:r w:rsidR="00415B0D">
              <w:rPr>
                <w:rFonts w:asciiTheme="minorHAnsi" w:eastAsiaTheme="minorEastAsia" w:hAnsiTheme="minorHAnsi" w:cstheme="minorBidi"/>
                <w:noProof/>
                <w:szCs w:val="22"/>
                <w:lang w:eastAsia="en-GB"/>
              </w:rPr>
              <w:tab/>
            </w:r>
            <w:r w:rsidR="00415B0D" w:rsidRPr="00F92CE5">
              <w:rPr>
                <w:rStyle w:val="Hyperlink"/>
                <w:noProof/>
                <w:lang w:val="is-IS"/>
              </w:rPr>
              <w:t>FRÓÐLEIKUR UM RÚLLUFLÖSKURPRÓF</w:t>
            </w:r>
            <w:r w:rsidR="00415B0D">
              <w:rPr>
                <w:noProof/>
                <w:webHidden/>
              </w:rPr>
              <w:tab/>
            </w:r>
            <w:r w:rsidR="00415B0D">
              <w:rPr>
                <w:noProof/>
                <w:webHidden/>
              </w:rPr>
              <w:fldChar w:fldCharType="begin"/>
            </w:r>
            <w:r w:rsidR="00415B0D">
              <w:rPr>
                <w:noProof/>
                <w:webHidden/>
              </w:rPr>
              <w:instrText xml:space="preserve"> PAGEREF _Toc52974035 \h </w:instrText>
            </w:r>
            <w:r w:rsidR="00415B0D">
              <w:rPr>
                <w:noProof/>
                <w:webHidden/>
              </w:rPr>
            </w:r>
            <w:r w:rsidR="00415B0D">
              <w:rPr>
                <w:noProof/>
                <w:webHidden/>
              </w:rPr>
              <w:fldChar w:fldCharType="separate"/>
            </w:r>
            <w:r w:rsidR="00187A2A">
              <w:rPr>
                <w:noProof/>
                <w:webHidden/>
              </w:rPr>
              <w:t>35</w:t>
            </w:r>
            <w:r w:rsidR="00415B0D">
              <w:rPr>
                <w:noProof/>
                <w:webHidden/>
              </w:rPr>
              <w:fldChar w:fldCharType="end"/>
            </w:r>
          </w:hyperlink>
        </w:p>
        <w:p w14:paraId="4CDA2074" w14:textId="77777777" w:rsidR="00415B0D" w:rsidRDefault="001D42D2">
          <w:pPr>
            <w:pStyle w:val="TOC1"/>
            <w:tabs>
              <w:tab w:val="left" w:pos="660"/>
              <w:tab w:val="right" w:leader="dot" w:pos="8398"/>
            </w:tabs>
            <w:rPr>
              <w:rFonts w:asciiTheme="minorHAnsi" w:eastAsiaTheme="minorEastAsia" w:hAnsiTheme="minorHAnsi" w:cstheme="minorBidi"/>
              <w:noProof/>
              <w:szCs w:val="22"/>
              <w:lang w:eastAsia="en-GB"/>
            </w:rPr>
          </w:pPr>
          <w:hyperlink w:anchor="_Toc52974036" w:history="1">
            <w:r w:rsidR="00415B0D" w:rsidRPr="00F92CE5">
              <w:rPr>
                <w:rStyle w:val="Hyperlink"/>
                <w:noProof/>
                <w:lang w:val="is-IS"/>
              </w:rPr>
              <w:t>14</w:t>
            </w:r>
            <w:r w:rsidR="00415B0D">
              <w:rPr>
                <w:rFonts w:asciiTheme="minorHAnsi" w:eastAsiaTheme="minorEastAsia" w:hAnsiTheme="minorHAnsi" w:cstheme="minorBidi"/>
                <w:noProof/>
                <w:szCs w:val="22"/>
                <w:lang w:eastAsia="en-GB"/>
              </w:rPr>
              <w:tab/>
            </w:r>
            <w:r w:rsidR="00415B0D" w:rsidRPr="00F92CE5">
              <w:rPr>
                <w:rStyle w:val="Hyperlink"/>
                <w:noProof/>
                <w:lang w:val="is-IS"/>
              </w:rPr>
              <w:t>VATNSNÆMI MALBIKS</w:t>
            </w:r>
            <w:r w:rsidR="00415B0D">
              <w:rPr>
                <w:noProof/>
                <w:webHidden/>
              </w:rPr>
              <w:tab/>
            </w:r>
            <w:r w:rsidR="00415B0D">
              <w:rPr>
                <w:noProof/>
                <w:webHidden/>
              </w:rPr>
              <w:fldChar w:fldCharType="begin"/>
            </w:r>
            <w:r w:rsidR="00415B0D">
              <w:rPr>
                <w:noProof/>
                <w:webHidden/>
              </w:rPr>
              <w:instrText xml:space="preserve"> PAGEREF _Toc52974036 \h </w:instrText>
            </w:r>
            <w:r w:rsidR="00415B0D">
              <w:rPr>
                <w:noProof/>
                <w:webHidden/>
              </w:rPr>
            </w:r>
            <w:r w:rsidR="00415B0D">
              <w:rPr>
                <w:noProof/>
                <w:webHidden/>
              </w:rPr>
              <w:fldChar w:fldCharType="separate"/>
            </w:r>
            <w:r w:rsidR="00187A2A">
              <w:rPr>
                <w:noProof/>
                <w:webHidden/>
              </w:rPr>
              <w:t>37</w:t>
            </w:r>
            <w:r w:rsidR="00415B0D">
              <w:rPr>
                <w:noProof/>
                <w:webHidden/>
              </w:rPr>
              <w:fldChar w:fldCharType="end"/>
            </w:r>
          </w:hyperlink>
        </w:p>
        <w:p w14:paraId="671BDC6D" w14:textId="77777777" w:rsidR="00415B0D" w:rsidRDefault="001D42D2">
          <w:pPr>
            <w:pStyle w:val="TOC1"/>
            <w:tabs>
              <w:tab w:val="left" w:pos="660"/>
              <w:tab w:val="right" w:leader="dot" w:pos="8398"/>
            </w:tabs>
            <w:rPr>
              <w:rFonts w:asciiTheme="minorHAnsi" w:eastAsiaTheme="minorEastAsia" w:hAnsiTheme="minorHAnsi" w:cstheme="minorBidi"/>
              <w:noProof/>
              <w:szCs w:val="22"/>
              <w:lang w:eastAsia="en-GB"/>
            </w:rPr>
          </w:pPr>
          <w:hyperlink w:anchor="_Toc52974037" w:history="1">
            <w:r w:rsidR="00415B0D" w:rsidRPr="00F92CE5">
              <w:rPr>
                <w:rStyle w:val="Hyperlink"/>
                <w:noProof/>
                <w:lang w:val="is-IS"/>
              </w:rPr>
              <w:t>15</w:t>
            </w:r>
            <w:r w:rsidR="00415B0D">
              <w:rPr>
                <w:rFonts w:asciiTheme="minorHAnsi" w:eastAsiaTheme="minorEastAsia" w:hAnsiTheme="minorHAnsi" w:cstheme="minorBidi"/>
                <w:noProof/>
                <w:szCs w:val="22"/>
                <w:lang w:eastAsia="en-GB"/>
              </w:rPr>
              <w:tab/>
            </w:r>
            <w:r w:rsidR="00415B0D" w:rsidRPr="00F92CE5">
              <w:rPr>
                <w:rStyle w:val="Hyperlink"/>
                <w:noProof/>
                <w:lang w:val="is-IS"/>
              </w:rPr>
              <w:t>UM ÁHRIF SALTS Á ÞREYTUÞOL MALBIKS</w:t>
            </w:r>
            <w:r w:rsidR="00415B0D">
              <w:rPr>
                <w:noProof/>
                <w:webHidden/>
              </w:rPr>
              <w:tab/>
            </w:r>
            <w:r w:rsidR="00415B0D">
              <w:rPr>
                <w:noProof/>
                <w:webHidden/>
              </w:rPr>
              <w:fldChar w:fldCharType="begin"/>
            </w:r>
            <w:r w:rsidR="00415B0D">
              <w:rPr>
                <w:noProof/>
                <w:webHidden/>
              </w:rPr>
              <w:instrText xml:space="preserve"> PAGEREF _Toc52974037 \h </w:instrText>
            </w:r>
            <w:r w:rsidR="00415B0D">
              <w:rPr>
                <w:noProof/>
                <w:webHidden/>
              </w:rPr>
            </w:r>
            <w:r w:rsidR="00415B0D">
              <w:rPr>
                <w:noProof/>
                <w:webHidden/>
              </w:rPr>
              <w:fldChar w:fldCharType="separate"/>
            </w:r>
            <w:r w:rsidR="00187A2A">
              <w:rPr>
                <w:noProof/>
                <w:webHidden/>
              </w:rPr>
              <w:t>38</w:t>
            </w:r>
            <w:r w:rsidR="00415B0D">
              <w:rPr>
                <w:noProof/>
                <w:webHidden/>
              </w:rPr>
              <w:fldChar w:fldCharType="end"/>
            </w:r>
          </w:hyperlink>
        </w:p>
        <w:p w14:paraId="32E43D15" w14:textId="77777777" w:rsidR="00415B0D" w:rsidRDefault="001D42D2">
          <w:pPr>
            <w:pStyle w:val="TOC1"/>
            <w:tabs>
              <w:tab w:val="left" w:pos="660"/>
              <w:tab w:val="right" w:leader="dot" w:pos="8398"/>
            </w:tabs>
            <w:rPr>
              <w:rFonts w:asciiTheme="minorHAnsi" w:eastAsiaTheme="minorEastAsia" w:hAnsiTheme="minorHAnsi" w:cstheme="minorBidi"/>
              <w:noProof/>
              <w:szCs w:val="22"/>
              <w:lang w:eastAsia="en-GB"/>
            </w:rPr>
          </w:pPr>
          <w:hyperlink w:anchor="_Toc52974038" w:history="1">
            <w:r w:rsidR="00415B0D" w:rsidRPr="00F92CE5">
              <w:rPr>
                <w:rStyle w:val="Hyperlink"/>
                <w:noProof/>
                <w:lang w:val="is-IS"/>
              </w:rPr>
              <w:t>16</w:t>
            </w:r>
            <w:r w:rsidR="00415B0D">
              <w:rPr>
                <w:rFonts w:asciiTheme="minorHAnsi" w:eastAsiaTheme="minorEastAsia" w:hAnsiTheme="minorHAnsi" w:cstheme="minorBidi"/>
                <w:noProof/>
                <w:szCs w:val="22"/>
                <w:lang w:eastAsia="en-GB"/>
              </w:rPr>
              <w:tab/>
            </w:r>
            <w:r w:rsidR="00415B0D" w:rsidRPr="00F92CE5">
              <w:rPr>
                <w:rStyle w:val="Hyperlink"/>
                <w:noProof/>
                <w:lang w:val="is-IS"/>
              </w:rPr>
              <w:t>HEMLUNARVIÐNÁM</w:t>
            </w:r>
            <w:r w:rsidR="00415B0D">
              <w:rPr>
                <w:noProof/>
                <w:webHidden/>
              </w:rPr>
              <w:tab/>
            </w:r>
            <w:r w:rsidR="00415B0D">
              <w:rPr>
                <w:noProof/>
                <w:webHidden/>
              </w:rPr>
              <w:fldChar w:fldCharType="begin"/>
            </w:r>
            <w:r w:rsidR="00415B0D">
              <w:rPr>
                <w:noProof/>
                <w:webHidden/>
              </w:rPr>
              <w:instrText xml:space="preserve"> PAGEREF _Toc52974038 \h </w:instrText>
            </w:r>
            <w:r w:rsidR="00415B0D">
              <w:rPr>
                <w:noProof/>
                <w:webHidden/>
              </w:rPr>
            </w:r>
            <w:r w:rsidR="00415B0D">
              <w:rPr>
                <w:noProof/>
                <w:webHidden/>
              </w:rPr>
              <w:fldChar w:fldCharType="separate"/>
            </w:r>
            <w:r w:rsidR="00187A2A">
              <w:rPr>
                <w:noProof/>
                <w:webHidden/>
              </w:rPr>
              <w:t>40</w:t>
            </w:r>
            <w:r w:rsidR="00415B0D">
              <w:rPr>
                <w:noProof/>
                <w:webHidden/>
              </w:rPr>
              <w:fldChar w:fldCharType="end"/>
            </w:r>
          </w:hyperlink>
        </w:p>
        <w:p w14:paraId="79080F4A" w14:textId="77777777" w:rsidR="00415B0D" w:rsidRDefault="001D42D2">
          <w:pPr>
            <w:pStyle w:val="TOC1"/>
            <w:tabs>
              <w:tab w:val="left" w:pos="660"/>
              <w:tab w:val="right" w:leader="dot" w:pos="8398"/>
            </w:tabs>
            <w:rPr>
              <w:rFonts w:asciiTheme="minorHAnsi" w:eastAsiaTheme="minorEastAsia" w:hAnsiTheme="minorHAnsi" w:cstheme="minorBidi"/>
              <w:noProof/>
              <w:szCs w:val="22"/>
              <w:lang w:eastAsia="en-GB"/>
            </w:rPr>
          </w:pPr>
          <w:hyperlink w:anchor="_Toc52974039" w:history="1">
            <w:r w:rsidR="00415B0D" w:rsidRPr="00F92CE5">
              <w:rPr>
                <w:rStyle w:val="Hyperlink"/>
                <w:noProof/>
                <w:lang w:val="is-IS"/>
              </w:rPr>
              <w:t>17</w:t>
            </w:r>
            <w:r w:rsidR="00415B0D">
              <w:rPr>
                <w:rFonts w:asciiTheme="minorHAnsi" w:eastAsiaTheme="minorEastAsia" w:hAnsiTheme="minorHAnsi" w:cstheme="minorBidi"/>
                <w:noProof/>
                <w:szCs w:val="22"/>
                <w:lang w:eastAsia="en-GB"/>
              </w:rPr>
              <w:tab/>
            </w:r>
            <w:r w:rsidR="00415B0D" w:rsidRPr="00F92CE5">
              <w:rPr>
                <w:rStyle w:val="Hyperlink"/>
                <w:noProof/>
                <w:lang w:val="is-IS"/>
              </w:rPr>
              <w:t>BINDIEFNISSLIKJA Á SLITLÖGUM OG ÁHRIF HENNAR Á HEMLUNARVIÐNÁM</w:t>
            </w:r>
            <w:r w:rsidR="00415B0D">
              <w:rPr>
                <w:noProof/>
                <w:webHidden/>
              </w:rPr>
              <w:tab/>
            </w:r>
            <w:r w:rsidR="00415B0D">
              <w:rPr>
                <w:noProof/>
                <w:webHidden/>
              </w:rPr>
              <w:fldChar w:fldCharType="begin"/>
            </w:r>
            <w:r w:rsidR="00415B0D">
              <w:rPr>
                <w:noProof/>
                <w:webHidden/>
              </w:rPr>
              <w:instrText xml:space="preserve"> PAGEREF _Toc52974039 \h </w:instrText>
            </w:r>
            <w:r w:rsidR="00415B0D">
              <w:rPr>
                <w:noProof/>
                <w:webHidden/>
              </w:rPr>
            </w:r>
            <w:r w:rsidR="00415B0D">
              <w:rPr>
                <w:noProof/>
                <w:webHidden/>
              </w:rPr>
              <w:fldChar w:fldCharType="separate"/>
            </w:r>
            <w:r w:rsidR="00187A2A">
              <w:rPr>
                <w:noProof/>
                <w:webHidden/>
              </w:rPr>
              <w:t>42</w:t>
            </w:r>
            <w:r w:rsidR="00415B0D">
              <w:rPr>
                <w:noProof/>
                <w:webHidden/>
              </w:rPr>
              <w:fldChar w:fldCharType="end"/>
            </w:r>
          </w:hyperlink>
        </w:p>
        <w:p w14:paraId="453F80B8" w14:textId="77777777" w:rsidR="00415B0D" w:rsidRDefault="001D42D2">
          <w:pPr>
            <w:pStyle w:val="TOC1"/>
            <w:tabs>
              <w:tab w:val="left" w:pos="660"/>
              <w:tab w:val="right" w:leader="dot" w:pos="8398"/>
            </w:tabs>
            <w:rPr>
              <w:rFonts w:asciiTheme="minorHAnsi" w:eastAsiaTheme="minorEastAsia" w:hAnsiTheme="minorHAnsi" w:cstheme="minorBidi"/>
              <w:noProof/>
              <w:szCs w:val="22"/>
              <w:lang w:eastAsia="en-GB"/>
            </w:rPr>
          </w:pPr>
          <w:hyperlink w:anchor="_Toc52974040" w:history="1">
            <w:r w:rsidR="00415B0D" w:rsidRPr="00F92CE5">
              <w:rPr>
                <w:rStyle w:val="Hyperlink"/>
                <w:noProof/>
                <w:lang w:val="is-IS"/>
              </w:rPr>
              <w:t>18</w:t>
            </w:r>
            <w:r w:rsidR="00415B0D">
              <w:rPr>
                <w:rFonts w:asciiTheme="minorHAnsi" w:eastAsiaTheme="minorEastAsia" w:hAnsiTheme="minorHAnsi" w:cstheme="minorBidi"/>
                <w:noProof/>
                <w:szCs w:val="22"/>
                <w:lang w:eastAsia="en-GB"/>
              </w:rPr>
              <w:tab/>
            </w:r>
            <w:r w:rsidR="00415B0D" w:rsidRPr="00F92CE5">
              <w:rPr>
                <w:rStyle w:val="Hyperlink"/>
                <w:noProof/>
                <w:lang w:val="is-IS"/>
              </w:rPr>
              <w:t>FÁEIN ORÐ UM EFTIRLIT</w:t>
            </w:r>
            <w:r w:rsidR="00415B0D">
              <w:rPr>
                <w:noProof/>
                <w:webHidden/>
              </w:rPr>
              <w:tab/>
            </w:r>
            <w:r w:rsidR="00415B0D">
              <w:rPr>
                <w:noProof/>
                <w:webHidden/>
              </w:rPr>
              <w:fldChar w:fldCharType="begin"/>
            </w:r>
            <w:r w:rsidR="00415B0D">
              <w:rPr>
                <w:noProof/>
                <w:webHidden/>
              </w:rPr>
              <w:instrText xml:space="preserve"> PAGEREF _Toc52974040 \h </w:instrText>
            </w:r>
            <w:r w:rsidR="00415B0D">
              <w:rPr>
                <w:noProof/>
                <w:webHidden/>
              </w:rPr>
            </w:r>
            <w:r w:rsidR="00415B0D">
              <w:rPr>
                <w:noProof/>
                <w:webHidden/>
              </w:rPr>
              <w:fldChar w:fldCharType="separate"/>
            </w:r>
            <w:r w:rsidR="00187A2A">
              <w:rPr>
                <w:noProof/>
                <w:webHidden/>
              </w:rPr>
              <w:t>44</w:t>
            </w:r>
            <w:r w:rsidR="00415B0D">
              <w:rPr>
                <w:noProof/>
                <w:webHidden/>
              </w:rPr>
              <w:fldChar w:fldCharType="end"/>
            </w:r>
          </w:hyperlink>
        </w:p>
        <w:p w14:paraId="33D07B49" w14:textId="2AF107D8" w:rsidR="00E81FC3" w:rsidRDefault="00E81FC3">
          <w:r>
            <w:rPr>
              <w:b/>
              <w:bCs/>
              <w:noProof/>
            </w:rPr>
            <w:fldChar w:fldCharType="end"/>
          </w:r>
        </w:p>
      </w:sdtContent>
    </w:sdt>
    <w:p w14:paraId="33D07B4A" w14:textId="77777777" w:rsidR="007C00F4" w:rsidRPr="006868A9" w:rsidRDefault="007C00F4" w:rsidP="006868A9">
      <w:pPr>
        <w:jc w:val="both"/>
        <w:rPr>
          <w:color w:val="FF0000"/>
          <w:sz w:val="24"/>
          <w:szCs w:val="24"/>
          <w:lang w:val="is-IS"/>
        </w:rPr>
      </w:pPr>
    </w:p>
    <w:p w14:paraId="33D07B4B" w14:textId="77777777" w:rsidR="007C00F4" w:rsidRDefault="007C00F4" w:rsidP="006868A9">
      <w:pPr>
        <w:jc w:val="both"/>
        <w:rPr>
          <w:sz w:val="32"/>
          <w:szCs w:val="32"/>
          <w:lang w:val="is-IS"/>
        </w:rPr>
      </w:pPr>
    </w:p>
    <w:p w14:paraId="33D07B4C" w14:textId="77777777" w:rsidR="00DD488B" w:rsidRDefault="00DD488B" w:rsidP="007C00F4">
      <w:pPr>
        <w:jc w:val="center"/>
        <w:rPr>
          <w:sz w:val="32"/>
          <w:szCs w:val="32"/>
          <w:lang w:val="is-IS"/>
        </w:rPr>
      </w:pPr>
    </w:p>
    <w:p w14:paraId="33D07B4D" w14:textId="77777777" w:rsidR="00DD488B" w:rsidRPr="00E81FC3" w:rsidRDefault="00DD488B" w:rsidP="00E81FC3">
      <w:pPr>
        <w:pStyle w:val="Heading1"/>
      </w:pPr>
      <w:bookmarkStart w:id="1" w:name="_Toc52974006"/>
      <w:r w:rsidRPr="00E81FC3">
        <w:t>FRÓÐLEIKUR UM BIKBINDIEFNI TIL VEGAGERÐAR</w:t>
      </w:r>
      <w:bookmarkEnd w:id="1"/>
    </w:p>
    <w:p w14:paraId="33D07B4E" w14:textId="77777777" w:rsidR="00DD488B" w:rsidRPr="001C45E6" w:rsidRDefault="00DD488B" w:rsidP="006868A9">
      <w:pPr>
        <w:pStyle w:val="Heading2"/>
        <w:rPr>
          <w:lang w:val="is-IS"/>
        </w:rPr>
      </w:pPr>
      <w:bookmarkStart w:id="2" w:name="_Toc52974007"/>
      <w:r w:rsidRPr="001C45E6">
        <w:rPr>
          <w:lang w:val="is-IS"/>
        </w:rPr>
        <w:t>Inngangur</w:t>
      </w:r>
      <w:bookmarkEnd w:id="2"/>
    </w:p>
    <w:p w14:paraId="33D07B4F" w14:textId="186EE859" w:rsidR="00DD488B" w:rsidRDefault="00DD488B" w:rsidP="00DD488B">
      <w:pPr>
        <w:jc w:val="both"/>
        <w:rPr>
          <w:lang w:val="is-IS"/>
        </w:rPr>
      </w:pPr>
      <w:r w:rsidRPr="0082680A">
        <w:rPr>
          <w:b/>
          <w:lang w:val="is-IS"/>
        </w:rPr>
        <w:t>Uppruni og samsetning.</w:t>
      </w:r>
      <w:r>
        <w:rPr>
          <w:lang w:val="is-IS"/>
        </w:rPr>
        <w:t xml:space="preserve"> Öll </w:t>
      </w:r>
      <w:r w:rsidR="00946DD5">
        <w:rPr>
          <w:lang w:val="is-IS"/>
        </w:rPr>
        <w:t>bik</w:t>
      </w:r>
      <w:r>
        <w:rPr>
          <w:lang w:val="is-IS"/>
        </w:rPr>
        <w:t>bindiefni sem nú eru notuð hérlendis eru unnin úr jarðolíu (</w:t>
      </w:r>
      <w:r w:rsidR="00336906">
        <w:rPr>
          <w:lang w:val="is-IS"/>
        </w:rPr>
        <w:t>e.</w:t>
      </w:r>
      <w:r w:rsidR="00946DD5">
        <w:rPr>
          <w:lang w:val="is-IS"/>
        </w:rPr>
        <w:t xml:space="preserve"> </w:t>
      </w:r>
      <w:r>
        <w:rPr>
          <w:lang w:val="is-IS"/>
        </w:rPr>
        <w:t>crude oil), en hún er að stofni til lífrænar leifar sem hafa ummyndast djúpt í jörðu á afar löngum tíma við skilyrði, sem fyrst og fremst eru mikill þrýstingur og hitastreymi frá iðrum jarðar. Áður fyrr var einnig notuð tjara (</w:t>
      </w:r>
      <w:r w:rsidR="004E2B56">
        <w:rPr>
          <w:lang w:val="is-IS"/>
        </w:rPr>
        <w:t xml:space="preserve">e. </w:t>
      </w:r>
      <w:r>
        <w:rPr>
          <w:lang w:val="is-IS"/>
        </w:rPr>
        <w:t>tar)</w:t>
      </w:r>
      <w:r>
        <w:rPr>
          <w:rStyle w:val="FootnoteReference"/>
          <w:lang w:val="is-IS"/>
        </w:rPr>
        <w:footnoteReference w:id="1"/>
      </w:r>
      <w:r>
        <w:rPr>
          <w:lang w:val="is-IS"/>
        </w:rPr>
        <w:t xml:space="preserve"> en það er annað efni, unnið úr steinkolum. Hún er talin geta valdið krabbameini og notkun hennar hérlendis var hætt fyrir mörgum áratugum.   </w:t>
      </w:r>
    </w:p>
    <w:p w14:paraId="33D07B50" w14:textId="49CA8B20" w:rsidR="00DD488B" w:rsidRDefault="00DD488B" w:rsidP="00DD488B">
      <w:pPr>
        <w:ind w:firstLine="342"/>
        <w:jc w:val="both"/>
        <w:rPr>
          <w:lang w:val="is-IS"/>
        </w:rPr>
      </w:pPr>
      <w:r>
        <w:rPr>
          <w:lang w:val="is-IS"/>
        </w:rPr>
        <w:t xml:space="preserve">Jarðolía hentar misvel til framleiðslu á </w:t>
      </w:r>
      <w:r w:rsidR="00946DD5">
        <w:rPr>
          <w:lang w:val="is-IS"/>
        </w:rPr>
        <w:t>bik</w:t>
      </w:r>
      <w:r>
        <w:rPr>
          <w:lang w:val="is-IS"/>
        </w:rPr>
        <w:t xml:space="preserve">i eftir því hvaðan hún er; eiginleikar </w:t>
      </w:r>
      <w:r w:rsidR="00946DD5">
        <w:rPr>
          <w:lang w:val="is-IS"/>
        </w:rPr>
        <w:t>bik</w:t>
      </w:r>
      <w:r>
        <w:rPr>
          <w:lang w:val="is-IS"/>
        </w:rPr>
        <w:t>s (</w:t>
      </w:r>
      <w:r w:rsidR="00336906">
        <w:rPr>
          <w:lang w:val="is-IS"/>
        </w:rPr>
        <w:t>e.</w:t>
      </w:r>
      <w:r w:rsidR="00946DD5">
        <w:rPr>
          <w:lang w:val="is-IS"/>
        </w:rPr>
        <w:t xml:space="preserve"> </w:t>
      </w:r>
      <w:r>
        <w:rPr>
          <w:lang w:val="is-IS"/>
        </w:rPr>
        <w:t xml:space="preserve">bitumen) og gæði fara að nokkru leyti eftir uppruna jarðolíunnar. Hérlendis eru fyrst og fremst notuð bindiefni sem eru unnin úr jarðolíu frá Suður-Ameríku (Venesúela) eða Mið-Austurlöndum. </w:t>
      </w:r>
      <w:r w:rsidR="00946DD5">
        <w:rPr>
          <w:lang w:val="is-IS"/>
        </w:rPr>
        <w:t>BBik</w:t>
      </w:r>
      <w:r>
        <w:rPr>
          <w:lang w:val="is-IS"/>
        </w:rPr>
        <w:t xml:space="preserve"> er aukaafurð í olíuiðnaðinum, í stórum dráttum er </w:t>
      </w:r>
      <w:r w:rsidR="00946DD5">
        <w:rPr>
          <w:lang w:val="is-IS"/>
        </w:rPr>
        <w:t>bik</w:t>
      </w:r>
      <w:r>
        <w:rPr>
          <w:lang w:val="is-IS"/>
        </w:rPr>
        <w:t xml:space="preserve"> það sem eftir verður af jarðolíunni þegar búið er að eima úr henni hráefni í rokgjarnari og verðmætari vörur, svo sem ýmsar gastegundir, bensín, steinolíu, dísilolíu og smurolíu. </w:t>
      </w:r>
    </w:p>
    <w:p w14:paraId="33D07B51" w14:textId="12B4A497" w:rsidR="00DD488B" w:rsidRDefault="00DD488B" w:rsidP="00DD488B">
      <w:pPr>
        <w:ind w:firstLine="342"/>
        <w:jc w:val="both"/>
        <w:rPr>
          <w:lang w:val="is-IS"/>
        </w:rPr>
      </w:pPr>
      <w:r>
        <w:rPr>
          <w:lang w:val="is-IS"/>
        </w:rPr>
        <w:t xml:space="preserve">Uppistaðan í </w:t>
      </w:r>
      <w:r w:rsidR="00946DD5">
        <w:rPr>
          <w:lang w:val="is-IS"/>
        </w:rPr>
        <w:t>bik</w:t>
      </w:r>
      <w:r>
        <w:rPr>
          <w:lang w:val="is-IS"/>
        </w:rPr>
        <w:t xml:space="preserve">i er kolefni (82-88%), vetni (8-11%), brennisteinn (0-6%) og auk þess lítilræði af öðrum frumefnum. Samsetningin er breytileg eftir uppruna og getur líka tekið breytingum í framleiðsluferlinu og sömuleiðis á notkunartíma </w:t>
      </w:r>
      <w:r w:rsidR="00946DD5">
        <w:rPr>
          <w:lang w:val="is-IS"/>
        </w:rPr>
        <w:t>bik</w:t>
      </w:r>
      <w:r>
        <w:rPr>
          <w:lang w:val="is-IS"/>
        </w:rPr>
        <w:t>sins, m.a. fyrir áhrif sólarljóss og súrefnis í andrúmsloftinu.</w:t>
      </w:r>
    </w:p>
    <w:p w14:paraId="33D07B52" w14:textId="371AFCDD" w:rsidR="00DD488B" w:rsidRDefault="00946DD5" w:rsidP="00DD488B">
      <w:pPr>
        <w:ind w:firstLine="342"/>
        <w:jc w:val="both"/>
        <w:rPr>
          <w:lang w:val="is-IS"/>
        </w:rPr>
      </w:pPr>
      <w:r>
        <w:rPr>
          <w:lang w:val="is-IS"/>
        </w:rPr>
        <w:t>Bik</w:t>
      </w:r>
      <w:r w:rsidR="00DD488B">
        <w:rPr>
          <w:lang w:val="is-IS"/>
        </w:rPr>
        <w:t xml:space="preserve"> og ýmsar afurðir þess eru ekki aðeins notaðar í vegagerð, heldur einnig til fjölmargra annarra hluta, þ.á.m. í landbúnaði, bygginga</w:t>
      </w:r>
      <w:r w:rsidR="00AF37CF">
        <w:rPr>
          <w:lang w:val="is-IS"/>
        </w:rPr>
        <w:t>r</w:t>
      </w:r>
      <w:r w:rsidR="00DD488B">
        <w:rPr>
          <w:lang w:val="is-IS"/>
        </w:rPr>
        <w:t>framkvæmdum, í vatnsvörnum ýmiskonar, iðnaði og íþróttamannvirkjum.</w:t>
      </w:r>
    </w:p>
    <w:p w14:paraId="33D07B53" w14:textId="2163731E" w:rsidR="00DD488B" w:rsidRDefault="00DD488B" w:rsidP="00DD488B">
      <w:pPr>
        <w:ind w:firstLine="342"/>
        <w:jc w:val="both"/>
        <w:rPr>
          <w:lang w:val="is-IS"/>
        </w:rPr>
      </w:pPr>
      <w:r>
        <w:rPr>
          <w:lang w:val="is-IS"/>
        </w:rPr>
        <w:t xml:space="preserve">Í þessum pistli er fjallað stuttlega um bikbindiefni sem eru notuð í vegagerð hérlendis, þ.e. </w:t>
      </w:r>
      <w:r w:rsidR="00946DD5">
        <w:rPr>
          <w:lang w:val="is-IS"/>
        </w:rPr>
        <w:t>bik</w:t>
      </w:r>
      <w:r>
        <w:rPr>
          <w:lang w:val="is-IS"/>
        </w:rPr>
        <w:t xml:space="preserve">, þjálbik, þunnbik, froðubik og breytt bindiefni.  </w:t>
      </w:r>
    </w:p>
    <w:p w14:paraId="33D07B54" w14:textId="77777777" w:rsidR="00DD488B" w:rsidRDefault="00DD488B" w:rsidP="00DD488B">
      <w:pPr>
        <w:ind w:firstLine="342"/>
        <w:jc w:val="both"/>
        <w:rPr>
          <w:lang w:val="is-IS"/>
        </w:rPr>
      </w:pPr>
    </w:p>
    <w:p w14:paraId="33D07B55" w14:textId="7187CC17" w:rsidR="00DD488B" w:rsidRDefault="00DD488B" w:rsidP="00DD488B">
      <w:pPr>
        <w:jc w:val="both"/>
        <w:rPr>
          <w:lang w:val="is-IS"/>
        </w:rPr>
      </w:pPr>
      <w:r w:rsidRPr="002C1D5D">
        <w:rPr>
          <w:b/>
          <w:lang w:val="is-IS"/>
        </w:rPr>
        <w:t>Hráefni og framleiðsla.</w:t>
      </w:r>
      <w:r>
        <w:rPr>
          <w:lang w:val="is-IS"/>
        </w:rPr>
        <w:t xml:space="preserve"> Bikbindiefni, sem eru notuð í vegagerð, eru nánast eingöngu framleidd með eimingu á jarðolíu. Þá er jarðolían hituð upp í 300-350°C svo hún verður að blöndu af gufu og vökva, síðan er hún leidd inn í svokallaðan eimingarturn. Þar skilst jarðolían sundur í eimingarhluta eftir suðumarki, léttustu hlutarnir svo sem gastegundir og brennsluolíur setjast ofan til í turninum en eimingarleifin verður eftir á botninum. Eimingarleifin, sem er blanda af </w:t>
      </w:r>
      <w:r w:rsidR="00946DD5">
        <w:rPr>
          <w:lang w:val="is-IS"/>
        </w:rPr>
        <w:t>bik</w:t>
      </w:r>
      <w:r>
        <w:rPr>
          <w:lang w:val="is-IS"/>
        </w:rPr>
        <w:t xml:space="preserve">i og þungum olíum, er svo eimuð á nýjan leik. Þá fæst m.a. hið eiginlega </w:t>
      </w:r>
      <w:r w:rsidR="00946DD5">
        <w:rPr>
          <w:lang w:val="is-IS"/>
        </w:rPr>
        <w:t>bik</w:t>
      </w:r>
      <w:r>
        <w:rPr>
          <w:lang w:val="is-IS"/>
        </w:rPr>
        <w:t xml:space="preserve"> og eiginleikum þess má stýra að nokkru marki með aðstæðum við eiminguna, svo sem hitastigi og þrýstingi. </w:t>
      </w:r>
      <w:r w:rsidR="00946DD5">
        <w:rPr>
          <w:lang w:val="is-IS"/>
        </w:rPr>
        <w:t>Bik</w:t>
      </w:r>
      <w:r>
        <w:rPr>
          <w:lang w:val="is-IS"/>
        </w:rPr>
        <w:t xml:space="preserve"> má síðan blanda aftur með mismunandi eimingarhlutum eða öðrum efnum</w:t>
      </w:r>
      <w:r w:rsidRPr="00130066">
        <w:rPr>
          <w:lang w:val="is-IS"/>
        </w:rPr>
        <w:t xml:space="preserve"> </w:t>
      </w:r>
      <w:r>
        <w:rPr>
          <w:lang w:val="is-IS"/>
        </w:rPr>
        <w:t>til að framleiða ýmsar aðrar gerðir bindiefna; þungum olíum til að fá þjálbik (</w:t>
      </w:r>
      <w:r w:rsidR="0093309E">
        <w:rPr>
          <w:lang w:val="is-IS"/>
        </w:rPr>
        <w:t>e</w:t>
      </w:r>
      <w:r w:rsidR="00336906">
        <w:rPr>
          <w:lang w:val="is-IS"/>
        </w:rPr>
        <w:t>.</w:t>
      </w:r>
      <w:r w:rsidR="0093309E">
        <w:rPr>
          <w:lang w:val="is-IS"/>
        </w:rPr>
        <w:t xml:space="preserve"> </w:t>
      </w:r>
      <w:r>
        <w:rPr>
          <w:lang w:val="is-IS"/>
        </w:rPr>
        <w:t>fluxed bitumen), rokgjörnum þynni til að framleiða þunnbik (</w:t>
      </w:r>
      <w:r w:rsidR="0093309E">
        <w:rPr>
          <w:lang w:val="is-IS"/>
        </w:rPr>
        <w:t>e</w:t>
      </w:r>
      <w:r w:rsidR="00336906">
        <w:rPr>
          <w:lang w:val="is-IS"/>
        </w:rPr>
        <w:t>.</w:t>
      </w:r>
      <w:r w:rsidR="0093309E">
        <w:rPr>
          <w:lang w:val="is-IS"/>
        </w:rPr>
        <w:t xml:space="preserve"> </w:t>
      </w:r>
      <w:r>
        <w:rPr>
          <w:lang w:val="is-IS"/>
        </w:rPr>
        <w:t>cutback), eða þeyta saman við vatn til að framleiða bikþeytu (</w:t>
      </w:r>
      <w:r w:rsidR="0093309E">
        <w:rPr>
          <w:lang w:val="is-IS"/>
        </w:rPr>
        <w:t>e</w:t>
      </w:r>
      <w:r w:rsidR="00336906">
        <w:rPr>
          <w:lang w:val="is-IS"/>
        </w:rPr>
        <w:t>.</w:t>
      </w:r>
      <w:r w:rsidR="0093309E">
        <w:rPr>
          <w:lang w:val="is-IS"/>
        </w:rPr>
        <w:t xml:space="preserve"> </w:t>
      </w:r>
      <w:r>
        <w:rPr>
          <w:lang w:val="is-IS"/>
        </w:rPr>
        <w:t xml:space="preserve">emulsion). </w:t>
      </w:r>
    </w:p>
    <w:p w14:paraId="33D07B56" w14:textId="77777777" w:rsidR="0000703D" w:rsidRDefault="0000703D" w:rsidP="00DD488B">
      <w:pPr>
        <w:jc w:val="both"/>
        <w:rPr>
          <w:lang w:val="is-IS"/>
        </w:rPr>
      </w:pPr>
    </w:p>
    <w:p w14:paraId="33D07B57" w14:textId="77777777" w:rsidR="0000703D" w:rsidRPr="00BD1602" w:rsidRDefault="0000703D" w:rsidP="0000703D">
      <w:pPr>
        <w:ind w:firstLine="340"/>
        <w:jc w:val="both"/>
        <w:rPr>
          <w:b/>
          <w:color w:val="FF0000"/>
          <w:lang w:val="is-IS"/>
        </w:rPr>
      </w:pPr>
      <w:r w:rsidRPr="00BD1602">
        <w:rPr>
          <w:b/>
          <w:color w:val="FF0000"/>
          <w:lang w:val="is-IS"/>
        </w:rPr>
        <w:t>ATHUGASEMD RITSTJÓRNAR Í JANÚAR 2020</w:t>
      </w:r>
    </w:p>
    <w:p w14:paraId="33D07B58" w14:textId="77777777" w:rsidR="0000703D" w:rsidRPr="00BD1602" w:rsidRDefault="0000703D" w:rsidP="0000703D">
      <w:pPr>
        <w:spacing w:after="60"/>
        <w:jc w:val="both"/>
        <w:rPr>
          <w:color w:val="FF0000"/>
          <w:lang w:val="is-IS"/>
        </w:rPr>
      </w:pPr>
      <w:r w:rsidRPr="00BD1602">
        <w:rPr>
          <w:color w:val="FF0000"/>
        </w:rPr>
        <w:t>Þessi kafli fær að halda sér að langmestu leyti.</w:t>
      </w:r>
    </w:p>
    <w:p w14:paraId="33D07B59" w14:textId="77777777" w:rsidR="00DD488B" w:rsidRDefault="00DD488B" w:rsidP="00205F90">
      <w:pPr>
        <w:rPr>
          <w:lang w:val="is-IS"/>
        </w:rPr>
      </w:pPr>
    </w:p>
    <w:p w14:paraId="33D07B5A" w14:textId="77777777" w:rsidR="00DD488B" w:rsidRPr="001C45E6" w:rsidRDefault="00DD488B" w:rsidP="006868A9">
      <w:pPr>
        <w:pStyle w:val="Heading2"/>
        <w:rPr>
          <w:lang w:val="is-IS"/>
        </w:rPr>
      </w:pPr>
      <w:bookmarkStart w:id="3" w:name="_Toc52974008"/>
      <w:r w:rsidRPr="001C45E6">
        <w:rPr>
          <w:lang w:val="is-IS"/>
        </w:rPr>
        <w:lastRenderedPageBreak/>
        <w:t>Helstu gerðir bindiefna</w:t>
      </w:r>
      <w:bookmarkEnd w:id="3"/>
    </w:p>
    <w:p w14:paraId="33D07B5B" w14:textId="7A6D788A" w:rsidR="00DD488B" w:rsidRDefault="00946DD5" w:rsidP="00DD488B">
      <w:pPr>
        <w:jc w:val="both"/>
        <w:rPr>
          <w:lang w:val="is-IS"/>
        </w:rPr>
      </w:pPr>
      <w:r>
        <w:rPr>
          <w:b/>
          <w:lang w:val="is-IS"/>
        </w:rPr>
        <w:t>Bik</w:t>
      </w:r>
      <w:r w:rsidR="00DD488B" w:rsidRPr="00EF542C">
        <w:rPr>
          <w:b/>
          <w:lang w:val="is-IS"/>
        </w:rPr>
        <w:t>.</w:t>
      </w:r>
      <w:r w:rsidR="00DD488B">
        <w:rPr>
          <w:lang w:val="is-IS"/>
        </w:rPr>
        <w:t xml:space="preserve"> Af </w:t>
      </w:r>
      <w:r>
        <w:rPr>
          <w:lang w:val="is-IS"/>
        </w:rPr>
        <w:t>bik</w:t>
      </w:r>
      <w:r w:rsidR="00DD488B">
        <w:rPr>
          <w:lang w:val="is-IS"/>
        </w:rPr>
        <w:t xml:space="preserve">i </w:t>
      </w:r>
      <w:r>
        <w:rPr>
          <w:lang w:val="is-IS"/>
        </w:rPr>
        <w:t>(</w:t>
      </w:r>
      <w:r w:rsidR="00BA1293">
        <w:rPr>
          <w:lang w:val="is-IS"/>
        </w:rPr>
        <w:t xml:space="preserve">líka kallað stungubik) </w:t>
      </w:r>
      <w:r w:rsidR="00DD488B">
        <w:rPr>
          <w:lang w:val="is-IS"/>
        </w:rPr>
        <w:t xml:space="preserve">eru til allmargar gerðir sem eru flokkaðar eftir stífni þeirra, nánar tiltekið stungudýpt. Sem stendur eru eingöngu notaðir tveir flokkar hérlendis, </w:t>
      </w:r>
      <w:r>
        <w:rPr>
          <w:lang w:val="is-IS"/>
        </w:rPr>
        <w:t>bik</w:t>
      </w:r>
      <w:r w:rsidR="00DD488B">
        <w:rPr>
          <w:lang w:val="is-IS"/>
        </w:rPr>
        <w:t xml:space="preserve"> með stungudýpt 160/220 og </w:t>
      </w:r>
      <w:r>
        <w:rPr>
          <w:lang w:val="is-IS"/>
        </w:rPr>
        <w:t>bik</w:t>
      </w:r>
      <w:r w:rsidR="00DD488B">
        <w:rPr>
          <w:lang w:val="is-IS"/>
        </w:rPr>
        <w:t xml:space="preserve"> með stungudýpt 70/100 sem er stífara. Til tals hefur komið að taka tvo aðra flokka í notkun, 50/70 og 100/150. </w:t>
      </w:r>
      <w:r>
        <w:rPr>
          <w:lang w:val="is-IS"/>
        </w:rPr>
        <w:t>Bik</w:t>
      </w:r>
      <w:r w:rsidR="00DD488B">
        <w:rPr>
          <w:lang w:val="is-IS"/>
        </w:rPr>
        <w:t xml:space="preserve"> er notað í malbik sem er algengasta slitlagsgerðin í þéttbýli og sem hráefni í </w:t>
      </w:r>
      <w:r w:rsidR="0093309E">
        <w:rPr>
          <w:lang w:val="is-IS"/>
        </w:rPr>
        <w:t xml:space="preserve">þjálbik, </w:t>
      </w:r>
      <w:r w:rsidR="00DD488B">
        <w:rPr>
          <w:lang w:val="is-IS"/>
        </w:rPr>
        <w:t xml:space="preserve">þunnbik og bikþeytur. </w:t>
      </w:r>
      <w:r>
        <w:rPr>
          <w:lang w:val="is-IS"/>
        </w:rPr>
        <w:t>Bik</w:t>
      </w:r>
      <w:r w:rsidR="00DD488B">
        <w:rPr>
          <w:lang w:val="is-IS"/>
        </w:rPr>
        <w:t xml:space="preserve"> má blanda úr tveim mismunandi stífum gerðum til að fá millistig. </w:t>
      </w:r>
    </w:p>
    <w:p w14:paraId="33D07B5C" w14:textId="77777777" w:rsidR="00BA1293" w:rsidRDefault="00BA1293" w:rsidP="00DD488B">
      <w:pPr>
        <w:jc w:val="both"/>
        <w:rPr>
          <w:lang w:val="is-IS"/>
        </w:rPr>
      </w:pPr>
    </w:p>
    <w:p w14:paraId="33D07B5D" w14:textId="4337BF8D" w:rsidR="00DD488B" w:rsidRDefault="00DD488B" w:rsidP="00DD488B">
      <w:pPr>
        <w:jc w:val="both"/>
        <w:rPr>
          <w:lang w:val="is-IS"/>
        </w:rPr>
      </w:pPr>
      <w:r w:rsidRPr="001F256D">
        <w:rPr>
          <w:b/>
          <w:lang w:val="is-IS"/>
        </w:rPr>
        <w:t>Þunnbik.</w:t>
      </w:r>
      <w:r>
        <w:rPr>
          <w:b/>
          <w:lang w:val="is-IS"/>
        </w:rPr>
        <w:t xml:space="preserve"> </w:t>
      </w:r>
      <w:r>
        <w:rPr>
          <w:lang w:val="is-IS"/>
        </w:rPr>
        <w:t xml:space="preserve">Það er blanda af </w:t>
      </w:r>
      <w:r w:rsidR="00946DD5">
        <w:rPr>
          <w:lang w:val="is-IS"/>
        </w:rPr>
        <w:t>bik</w:t>
      </w:r>
      <w:r>
        <w:rPr>
          <w:lang w:val="is-IS"/>
        </w:rPr>
        <w:t xml:space="preserve">i, 70/100 eða 160/220 og þynni sem getur verið af ýmsum gerðum. Hérlendis </w:t>
      </w:r>
      <w:r w:rsidR="009531BA">
        <w:rPr>
          <w:lang w:val="is-IS"/>
        </w:rPr>
        <w:t>va</w:t>
      </w:r>
      <w:r>
        <w:rPr>
          <w:lang w:val="is-IS"/>
        </w:rPr>
        <w:t xml:space="preserve">r þunnbik oftast nær gert úr </w:t>
      </w:r>
      <w:r w:rsidR="00946DD5">
        <w:rPr>
          <w:lang w:val="is-IS"/>
        </w:rPr>
        <w:t>bik</w:t>
      </w:r>
      <w:r>
        <w:rPr>
          <w:lang w:val="is-IS"/>
        </w:rPr>
        <w:t xml:space="preserve">i af gerðinni 160/220 með 8-11% </w:t>
      </w:r>
      <w:r w:rsidR="0093309E">
        <w:rPr>
          <w:lang w:val="is-IS"/>
        </w:rPr>
        <w:t xml:space="preserve">hvítspíra </w:t>
      </w:r>
      <w:r>
        <w:rPr>
          <w:lang w:val="is-IS"/>
        </w:rPr>
        <w:t>(</w:t>
      </w:r>
      <w:r w:rsidR="0093309E">
        <w:rPr>
          <w:lang w:val="is-IS"/>
        </w:rPr>
        <w:t>e</w:t>
      </w:r>
      <w:r w:rsidR="00336906">
        <w:rPr>
          <w:lang w:val="is-IS"/>
        </w:rPr>
        <w:t>.</w:t>
      </w:r>
      <w:r w:rsidR="0093309E">
        <w:rPr>
          <w:lang w:val="is-IS"/>
        </w:rPr>
        <w:t xml:space="preserve"> </w:t>
      </w:r>
      <w:r>
        <w:rPr>
          <w:lang w:val="is-IS"/>
        </w:rPr>
        <w:t xml:space="preserve">white spirit) sem þynni og eingöngu notað í klæðingar. </w:t>
      </w:r>
      <w:r w:rsidR="009531BA">
        <w:rPr>
          <w:lang w:val="is-IS"/>
        </w:rPr>
        <w:t xml:space="preserve">Notkun á þunnbiki er að mestu aflögð hérlendis, nema í </w:t>
      </w:r>
      <w:r>
        <w:rPr>
          <w:lang w:val="is-IS"/>
        </w:rPr>
        <w:t xml:space="preserve">kaldri veðráttu (á haustin) </w:t>
      </w:r>
      <w:r w:rsidR="009531BA">
        <w:rPr>
          <w:lang w:val="is-IS"/>
        </w:rPr>
        <w:t>í sumum tilfellum</w:t>
      </w:r>
      <w:r>
        <w:rPr>
          <w:lang w:val="is-IS"/>
        </w:rPr>
        <w:t>.</w:t>
      </w:r>
    </w:p>
    <w:p w14:paraId="33D07B5E" w14:textId="77777777" w:rsidR="00DD488B" w:rsidRDefault="00DD488B" w:rsidP="00DD488B">
      <w:pPr>
        <w:jc w:val="both"/>
        <w:rPr>
          <w:lang w:val="is-IS"/>
        </w:rPr>
      </w:pPr>
    </w:p>
    <w:p w14:paraId="33D07B5F" w14:textId="169096F0" w:rsidR="00DD488B" w:rsidRDefault="00DD488B" w:rsidP="00DD488B">
      <w:pPr>
        <w:jc w:val="both"/>
        <w:rPr>
          <w:lang w:val="is-IS"/>
        </w:rPr>
      </w:pPr>
      <w:r w:rsidRPr="00517D81">
        <w:rPr>
          <w:b/>
          <w:lang w:val="is-IS"/>
        </w:rPr>
        <w:t>Þjálbik.</w:t>
      </w:r>
      <w:r>
        <w:rPr>
          <w:lang w:val="is-IS"/>
        </w:rPr>
        <w:t xml:space="preserve"> Það er </w:t>
      </w:r>
      <w:r w:rsidR="00946DD5">
        <w:rPr>
          <w:lang w:val="is-IS"/>
        </w:rPr>
        <w:t>bik</w:t>
      </w:r>
      <w:r>
        <w:rPr>
          <w:lang w:val="is-IS"/>
        </w:rPr>
        <w:t xml:space="preserve"> </w:t>
      </w:r>
      <w:r w:rsidR="0093309E">
        <w:rPr>
          <w:lang w:val="is-IS"/>
        </w:rPr>
        <w:t xml:space="preserve">sem oftast er </w:t>
      </w:r>
      <w:r>
        <w:rPr>
          <w:lang w:val="is-IS"/>
        </w:rPr>
        <w:t xml:space="preserve">þynnt með </w:t>
      </w:r>
      <w:r w:rsidR="0093309E">
        <w:rPr>
          <w:lang w:val="is-IS"/>
        </w:rPr>
        <w:t>líf</w:t>
      </w:r>
      <w:r>
        <w:rPr>
          <w:lang w:val="is-IS"/>
        </w:rPr>
        <w:t xml:space="preserve">olíum </w:t>
      </w:r>
      <w:r w:rsidR="0093309E">
        <w:rPr>
          <w:lang w:val="is-IS"/>
        </w:rPr>
        <w:t>hérlendis, nánar tiltekið ethylester sem unnið er út fiskiolíu (lýsi)</w:t>
      </w:r>
      <w:r>
        <w:rPr>
          <w:lang w:val="is-IS"/>
        </w:rPr>
        <w:t>. Hérlendis hefur þjálbik verið notað í klæðingar</w:t>
      </w:r>
      <w:r w:rsidR="0093309E">
        <w:rPr>
          <w:lang w:val="is-IS"/>
        </w:rPr>
        <w:t xml:space="preserve"> í síauknum mæli or er algengasta bindiefnið í klæðingar nú</w:t>
      </w:r>
      <w:r w:rsidR="006653A0">
        <w:rPr>
          <w:lang w:val="is-IS"/>
        </w:rPr>
        <w:t>.</w:t>
      </w:r>
      <w:r>
        <w:rPr>
          <w:lang w:val="is-IS"/>
        </w:rPr>
        <w:t xml:space="preserve"> Bestur árangur hefur náðst með </w:t>
      </w:r>
      <w:r w:rsidR="0093309E">
        <w:rPr>
          <w:lang w:val="is-IS"/>
        </w:rPr>
        <w:t>6</w:t>
      </w:r>
      <w:r>
        <w:rPr>
          <w:lang w:val="is-IS"/>
        </w:rPr>
        <w:t xml:space="preserve">,5% af </w:t>
      </w:r>
      <w:r w:rsidR="009531BA">
        <w:rPr>
          <w:lang w:val="is-IS"/>
        </w:rPr>
        <w:t>líf</w:t>
      </w:r>
      <w:r>
        <w:rPr>
          <w:lang w:val="is-IS"/>
        </w:rPr>
        <w:t>olíu á móti 9</w:t>
      </w:r>
      <w:r w:rsidR="009531BA">
        <w:rPr>
          <w:lang w:val="is-IS"/>
        </w:rPr>
        <w:t>3</w:t>
      </w:r>
      <w:r>
        <w:rPr>
          <w:lang w:val="is-IS"/>
        </w:rPr>
        <w:t xml:space="preserve">,5% af </w:t>
      </w:r>
      <w:r w:rsidR="00946DD5">
        <w:rPr>
          <w:lang w:val="is-IS"/>
        </w:rPr>
        <w:t>bik</w:t>
      </w:r>
      <w:r>
        <w:rPr>
          <w:lang w:val="is-IS"/>
        </w:rPr>
        <w:t xml:space="preserve">i, </w:t>
      </w:r>
      <w:r w:rsidR="009531BA">
        <w:rPr>
          <w:lang w:val="is-IS"/>
        </w:rPr>
        <w:t>með stungudýp</w:t>
      </w:r>
      <w:r w:rsidR="00DD569A">
        <w:rPr>
          <w:lang w:val="is-IS"/>
        </w:rPr>
        <w:t>t</w:t>
      </w:r>
      <w:r w:rsidR="009531BA">
        <w:rPr>
          <w:lang w:val="is-IS"/>
        </w:rPr>
        <w:t xml:space="preserve"> PG </w:t>
      </w:r>
      <w:r>
        <w:rPr>
          <w:lang w:val="is-IS"/>
        </w:rPr>
        <w:t xml:space="preserve">160/220. </w:t>
      </w:r>
    </w:p>
    <w:p w14:paraId="33D07B60" w14:textId="77777777" w:rsidR="00DD488B" w:rsidRDefault="00DD488B" w:rsidP="00DD488B">
      <w:pPr>
        <w:jc w:val="both"/>
        <w:rPr>
          <w:lang w:val="is-IS"/>
        </w:rPr>
      </w:pPr>
    </w:p>
    <w:p w14:paraId="33D07B61" w14:textId="2796CF8C" w:rsidR="00DD488B" w:rsidRDefault="00DD488B" w:rsidP="00DD488B">
      <w:pPr>
        <w:jc w:val="both"/>
        <w:rPr>
          <w:lang w:val="is-IS"/>
        </w:rPr>
      </w:pPr>
      <w:r w:rsidRPr="00886296">
        <w:rPr>
          <w:b/>
          <w:lang w:val="is-IS"/>
        </w:rPr>
        <w:t>Bikþeyta.</w:t>
      </w:r>
      <w:r>
        <w:rPr>
          <w:lang w:val="is-IS"/>
        </w:rPr>
        <w:t xml:space="preserve"> Hún er blanda af </w:t>
      </w:r>
      <w:r w:rsidR="00946DD5">
        <w:rPr>
          <w:lang w:val="is-IS"/>
        </w:rPr>
        <w:t>bik</w:t>
      </w:r>
      <w:r>
        <w:rPr>
          <w:lang w:val="is-IS"/>
        </w:rPr>
        <w:t xml:space="preserve">i, oftast </w:t>
      </w:r>
      <w:r w:rsidR="009531BA">
        <w:rPr>
          <w:lang w:val="is-IS"/>
        </w:rPr>
        <w:t xml:space="preserve">PG </w:t>
      </w:r>
      <w:r>
        <w:rPr>
          <w:lang w:val="is-IS"/>
        </w:rPr>
        <w:t>160/220, og vatni, ásamt ýruefnum (</w:t>
      </w:r>
      <w:r w:rsidR="00336906">
        <w:rPr>
          <w:lang w:val="is-IS"/>
        </w:rPr>
        <w:t>e.</w:t>
      </w:r>
      <w:r w:rsidR="009531BA">
        <w:rPr>
          <w:lang w:val="is-IS"/>
        </w:rPr>
        <w:t xml:space="preserve"> </w:t>
      </w:r>
      <w:r>
        <w:rPr>
          <w:lang w:val="is-IS"/>
        </w:rPr>
        <w:t>emulgators) sem gera kleift að blanda þessu tvennu saman. Tilgangurinn er að þynna bindiefnið án þess að hita það mikið eða blanda það með mengandi efnum. Hlutföllum bindiefnis og vatns má breyta innan vissra marka og sömuleiðis má breyta eiginleikum bikþeytunnar með íaukum, svo sem þynni af einhverju tagi, gerð ýruefnanna og fjölliðum. Með þessu móti má búa til óteljandi gerðir af bikþeytum og haga eiginleikum þeirra eftir aðstæðum þar sem á að nota þær hverju sinni. Bikþeyta er þeirrar náttúru að þegar hún blandast steinefnum</w:t>
      </w:r>
      <w:r w:rsidR="00F86F17">
        <w:rPr>
          <w:lang w:val="is-IS"/>
        </w:rPr>
        <w:t xml:space="preserve"> brotnar hún</w:t>
      </w:r>
      <w:r>
        <w:rPr>
          <w:lang w:val="is-IS"/>
        </w:rPr>
        <w:t xml:space="preserve">, </w:t>
      </w:r>
      <w:r w:rsidR="00F86F17">
        <w:rPr>
          <w:lang w:val="is-IS"/>
        </w:rPr>
        <w:t xml:space="preserve">sem sagt </w:t>
      </w:r>
      <w:r>
        <w:rPr>
          <w:lang w:val="is-IS"/>
        </w:rPr>
        <w:t>þá hlaupa bikdroparnir saman en vatnið skilst frá og gufar upp eða rennur í burtu eftir aðstæðum.</w:t>
      </w:r>
    </w:p>
    <w:p w14:paraId="33D07B62" w14:textId="77777777" w:rsidR="00DD488B" w:rsidRDefault="00DD488B" w:rsidP="00DD488B">
      <w:pPr>
        <w:ind w:firstLine="342"/>
        <w:jc w:val="both"/>
        <w:rPr>
          <w:lang w:val="is-IS"/>
        </w:rPr>
      </w:pPr>
      <w:r>
        <w:rPr>
          <w:lang w:val="is-IS"/>
        </w:rPr>
        <w:t xml:space="preserve">Öll bikþeyta sem er notuð hérlendis er blönduð innanlands og henni má í stórum dráttum skipta í fjóra flokka. </w:t>
      </w:r>
    </w:p>
    <w:p w14:paraId="33D07B63" w14:textId="654B86DF" w:rsidR="00DD488B" w:rsidRDefault="00DD488B" w:rsidP="00DD488B">
      <w:pPr>
        <w:ind w:firstLine="342"/>
        <w:jc w:val="both"/>
        <w:rPr>
          <w:lang w:val="is-IS"/>
        </w:rPr>
      </w:pPr>
      <w:r w:rsidRPr="006D7AB5">
        <w:rPr>
          <w:i/>
          <w:lang w:val="is-IS"/>
        </w:rPr>
        <w:t>Til festunar og í kaldblandað malbik.</w:t>
      </w:r>
      <w:r>
        <w:rPr>
          <w:lang w:val="is-IS"/>
        </w:rPr>
        <w:t xml:space="preserve"> Þessi bikþeyta inniheldur um 60% </w:t>
      </w:r>
      <w:r w:rsidR="00946DD5">
        <w:rPr>
          <w:lang w:val="is-IS"/>
        </w:rPr>
        <w:t>bik</w:t>
      </w:r>
      <w:r w:rsidR="00EA131A">
        <w:rPr>
          <w:lang w:val="is-IS"/>
        </w:rPr>
        <w:t xml:space="preserve"> og</w:t>
      </w:r>
      <w:r>
        <w:rPr>
          <w:lang w:val="is-IS"/>
        </w:rPr>
        <w:t xml:space="preserve"> er notuð til að festa burðarlög samhliða fræsun</w:t>
      </w:r>
      <w:r w:rsidR="00C4702C">
        <w:rPr>
          <w:lang w:val="is-IS"/>
        </w:rPr>
        <w:t>,</w:t>
      </w:r>
      <w:r>
        <w:rPr>
          <w:lang w:val="is-IS"/>
        </w:rPr>
        <w:t xml:space="preserve"> í kaldblandað malbik sem er notað til breikka slitlög út á axlir, til viðgerða á slitlagsköntum og til að rétta af slitlög sem hafa aflagast einhverra hluta vegna. </w:t>
      </w:r>
    </w:p>
    <w:p w14:paraId="33D07B64" w14:textId="7ABBF7BA" w:rsidR="00DD488B" w:rsidRDefault="00DD488B" w:rsidP="00DD488B">
      <w:pPr>
        <w:ind w:firstLine="342"/>
        <w:jc w:val="both"/>
        <w:rPr>
          <w:lang w:val="is-IS"/>
        </w:rPr>
      </w:pPr>
      <w:r w:rsidRPr="00A85146">
        <w:rPr>
          <w:i/>
          <w:lang w:val="is-IS"/>
        </w:rPr>
        <w:t>Bindiefni í Ralumac</w:t>
      </w:r>
      <w:r>
        <w:rPr>
          <w:i/>
          <w:lang w:val="is-IS"/>
        </w:rPr>
        <w:t xml:space="preserve"> </w:t>
      </w:r>
      <w:r>
        <w:rPr>
          <w:lang w:val="is-IS"/>
        </w:rPr>
        <w:t xml:space="preserve">(sem er blanda af bikþeytu og fremur fíngerðu steinefni). Um 60% þessarar bikþeytu er </w:t>
      </w:r>
      <w:r w:rsidR="00946DD5">
        <w:rPr>
          <w:lang w:val="is-IS"/>
        </w:rPr>
        <w:t>bik</w:t>
      </w:r>
      <w:r>
        <w:rPr>
          <w:lang w:val="is-IS"/>
        </w:rPr>
        <w:t xml:space="preserve"> og í henni er einnig lítið eitt af þynni (um 1%). Ralumac er notað í grunnar afréttingar undir nýtt slitlag, í þunnar yfirlagnir á axlir og talsvert í viðhald á flugbrautum.  </w:t>
      </w:r>
    </w:p>
    <w:p w14:paraId="33D07B65" w14:textId="5FC77C24" w:rsidR="00DD488B" w:rsidRDefault="00DD488B" w:rsidP="00DD488B">
      <w:pPr>
        <w:ind w:firstLine="342"/>
        <w:jc w:val="both"/>
        <w:rPr>
          <w:lang w:val="is-IS"/>
        </w:rPr>
      </w:pPr>
      <w:r w:rsidRPr="00EF4F27">
        <w:rPr>
          <w:i/>
          <w:lang w:val="is-IS"/>
        </w:rPr>
        <w:t>Límefni.</w:t>
      </w:r>
      <w:r>
        <w:rPr>
          <w:lang w:val="is-IS"/>
        </w:rPr>
        <w:t xml:space="preserve"> Þessi bikþeyta er notuð til límingar milli malbikslaga og </w:t>
      </w:r>
      <w:r w:rsidR="00946DD5">
        <w:rPr>
          <w:lang w:val="is-IS"/>
        </w:rPr>
        <w:t>bik</w:t>
      </w:r>
      <w:r>
        <w:rPr>
          <w:lang w:val="is-IS"/>
        </w:rPr>
        <w:t xml:space="preserve">innihaldið er um 50%. </w:t>
      </w:r>
    </w:p>
    <w:p w14:paraId="33D07B66" w14:textId="25D52FFF" w:rsidR="00DD488B" w:rsidRDefault="00DD488B" w:rsidP="00DD488B">
      <w:pPr>
        <w:ind w:firstLine="342"/>
        <w:jc w:val="both"/>
        <w:rPr>
          <w:lang w:val="is-IS"/>
        </w:rPr>
      </w:pPr>
      <w:r w:rsidRPr="00E07340">
        <w:rPr>
          <w:i/>
          <w:lang w:val="is-IS"/>
        </w:rPr>
        <w:t>Bi</w:t>
      </w:r>
      <w:r>
        <w:rPr>
          <w:i/>
          <w:lang w:val="is-IS"/>
        </w:rPr>
        <w:t>kþeyta</w:t>
      </w:r>
      <w:r w:rsidRPr="00E07340">
        <w:rPr>
          <w:i/>
          <w:lang w:val="is-IS"/>
        </w:rPr>
        <w:t xml:space="preserve"> í klæðingar.</w:t>
      </w:r>
      <w:r>
        <w:rPr>
          <w:lang w:val="is-IS"/>
        </w:rPr>
        <w:t xml:space="preserve"> Bikþeyta hefur verið notuð í klæðingar </w:t>
      </w:r>
      <w:r w:rsidR="00782C15">
        <w:rPr>
          <w:lang w:val="is-IS"/>
        </w:rPr>
        <w:t>á undanförnum árum til yfirlagnar á eldri klæðingar, reyndar í mismiklu magni milli ára</w:t>
      </w:r>
      <w:r>
        <w:rPr>
          <w:lang w:val="is-IS"/>
        </w:rPr>
        <w:t xml:space="preserve">. Hlutfall </w:t>
      </w:r>
      <w:r w:rsidR="00946DD5">
        <w:rPr>
          <w:lang w:val="is-IS"/>
        </w:rPr>
        <w:t>bik</w:t>
      </w:r>
      <w:r>
        <w:rPr>
          <w:lang w:val="is-IS"/>
        </w:rPr>
        <w:t xml:space="preserve">s í þessari bikþeytu er um </w:t>
      </w:r>
      <w:r w:rsidR="004E66CE">
        <w:rPr>
          <w:lang w:val="is-IS"/>
        </w:rPr>
        <w:t>69</w:t>
      </w:r>
      <w:r>
        <w:rPr>
          <w:lang w:val="is-IS"/>
        </w:rPr>
        <w:t>%.</w:t>
      </w:r>
    </w:p>
    <w:p w14:paraId="33D07B67" w14:textId="77777777" w:rsidR="00DD488B" w:rsidRDefault="00DD488B" w:rsidP="00DD488B">
      <w:pPr>
        <w:jc w:val="both"/>
        <w:rPr>
          <w:lang w:val="is-IS"/>
        </w:rPr>
      </w:pPr>
    </w:p>
    <w:p w14:paraId="33D07B68" w14:textId="7895B08A" w:rsidR="00DD488B" w:rsidRDefault="00DD488B" w:rsidP="00DD488B">
      <w:pPr>
        <w:jc w:val="both"/>
        <w:rPr>
          <w:lang w:val="is-IS"/>
        </w:rPr>
      </w:pPr>
      <w:r>
        <w:rPr>
          <w:b/>
          <w:lang w:val="is-IS"/>
        </w:rPr>
        <w:t>Froðubik</w:t>
      </w:r>
      <w:r w:rsidRPr="00717FDF">
        <w:rPr>
          <w:b/>
          <w:lang w:val="is-IS"/>
        </w:rPr>
        <w:t xml:space="preserve"> </w:t>
      </w:r>
      <w:r>
        <w:rPr>
          <w:lang w:val="is-IS"/>
        </w:rPr>
        <w:t xml:space="preserve">er ekki sérstakur flokkur bikbindiefna heldur </w:t>
      </w:r>
      <w:r w:rsidR="00946DD5">
        <w:rPr>
          <w:lang w:val="is-IS"/>
        </w:rPr>
        <w:t>bik</w:t>
      </w:r>
      <w:r>
        <w:rPr>
          <w:lang w:val="is-IS"/>
        </w:rPr>
        <w:t xml:space="preserve"> eða þjálbik sem er hitað upp í 160°C eða meira og blandað með vatni rétt áður en því er blandað saman við steinefni. Við það freyðir bindiefnið svo að rúmmál þess eykst 15- til 20-falt í stutta stund, og á meðan er auðvelt að blanda því saman við steinefnið. Hérlendis </w:t>
      </w:r>
      <w:r w:rsidR="00782C15">
        <w:rPr>
          <w:lang w:val="is-IS"/>
        </w:rPr>
        <w:t>va</w:t>
      </w:r>
      <w:r>
        <w:rPr>
          <w:lang w:val="is-IS"/>
        </w:rPr>
        <w:t>r froðubik fyrst og fremst notað til festunar á burðarlögum</w:t>
      </w:r>
      <w:r w:rsidR="00782C15">
        <w:rPr>
          <w:lang w:val="is-IS"/>
        </w:rPr>
        <w:t>, en notkun þess var hætt, að minnsta kosti tímabundið fyrir allmörgum árum</w:t>
      </w:r>
      <w:r>
        <w:rPr>
          <w:lang w:val="is-IS"/>
        </w:rPr>
        <w:t xml:space="preserve">. </w:t>
      </w:r>
    </w:p>
    <w:p w14:paraId="33D07B69" w14:textId="77777777" w:rsidR="00DD488B" w:rsidRDefault="00DD488B" w:rsidP="00DD488B">
      <w:pPr>
        <w:jc w:val="both"/>
        <w:rPr>
          <w:lang w:val="is-IS"/>
        </w:rPr>
      </w:pPr>
      <w:r w:rsidRPr="00E83A84">
        <w:rPr>
          <w:b/>
          <w:lang w:val="is-IS"/>
        </w:rPr>
        <w:t>Breytt bindiefni.</w:t>
      </w:r>
      <w:r>
        <w:rPr>
          <w:lang w:val="is-IS"/>
        </w:rPr>
        <w:t xml:space="preserve"> Það eru hefðbundin bindiefni að stofni til en saman við þau er blandað íaukum sem breyta eiginleikum þeirra, oft þannig að þau þola þunga umferð og langvinna sumarhita betur en ella. Þeim eru gerð nánari skil í sérstökum kafla. </w:t>
      </w:r>
    </w:p>
    <w:p w14:paraId="33D07B6A" w14:textId="77777777" w:rsidR="0000703D" w:rsidRPr="00FD5047" w:rsidRDefault="0000703D" w:rsidP="00DD488B">
      <w:pPr>
        <w:jc w:val="both"/>
        <w:rPr>
          <w:color w:val="FF0000"/>
          <w:lang w:val="is-IS"/>
        </w:rPr>
      </w:pPr>
    </w:p>
    <w:p w14:paraId="33D07B6B" w14:textId="77777777" w:rsidR="0000703D" w:rsidRPr="00FD5047" w:rsidRDefault="0000703D" w:rsidP="0000703D">
      <w:pPr>
        <w:ind w:firstLine="340"/>
        <w:jc w:val="both"/>
        <w:rPr>
          <w:b/>
          <w:color w:val="FF0000"/>
          <w:lang w:val="is-IS"/>
        </w:rPr>
      </w:pPr>
      <w:r w:rsidRPr="00FD5047">
        <w:rPr>
          <w:b/>
          <w:color w:val="FF0000"/>
          <w:lang w:val="is-IS"/>
        </w:rPr>
        <w:t>ATHUGASEMD RITSTJÓRNAR Í JANÚAR 2020</w:t>
      </w:r>
    </w:p>
    <w:p w14:paraId="33D07B6C" w14:textId="77777777" w:rsidR="0000703D" w:rsidRPr="00FD5047" w:rsidRDefault="0000703D" w:rsidP="0000703D">
      <w:pPr>
        <w:spacing w:after="60"/>
        <w:jc w:val="both"/>
        <w:rPr>
          <w:color w:val="FF0000"/>
          <w:lang w:val="is-IS"/>
        </w:rPr>
      </w:pPr>
      <w:r w:rsidRPr="00FD5047">
        <w:rPr>
          <w:color w:val="FF0000"/>
        </w:rPr>
        <w:t>Þessi kafli fær að halda sér að mestu leyti, nema dregið er úr umfjöllun um þunnbik (þar sem notkun þess er nú hverfandi), en aukið við hlut þjálbiks (sem lang algengasta bindiefnið í dag í klæðingar).</w:t>
      </w:r>
    </w:p>
    <w:p w14:paraId="33D07B6D" w14:textId="77777777" w:rsidR="00DD488B" w:rsidRPr="00FD5047" w:rsidRDefault="00DD488B" w:rsidP="00DD488B">
      <w:pPr>
        <w:jc w:val="both"/>
        <w:rPr>
          <w:color w:val="FF0000"/>
          <w:lang w:val="is-IS"/>
        </w:rPr>
      </w:pPr>
    </w:p>
    <w:p w14:paraId="33D07B6E" w14:textId="77777777" w:rsidR="00DD488B" w:rsidRPr="001C45E6" w:rsidRDefault="00DD488B" w:rsidP="006868A9">
      <w:pPr>
        <w:pStyle w:val="Heading2"/>
        <w:rPr>
          <w:lang w:val="is-IS"/>
        </w:rPr>
      </w:pPr>
      <w:bookmarkStart w:id="4" w:name="_Toc52974009"/>
      <w:r w:rsidRPr="001C45E6">
        <w:rPr>
          <w:lang w:val="is-IS"/>
        </w:rPr>
        <w:t>Hitastig við geymslu og dælingu</w:t>
      </w:r>
      <w:bookmarkEnd w:id="4"/>
    </w:p>
    <w:p w14:paraId="33D07B6F" w14:textId="5242836A" w:rsidR="00DD488B" w:rsidRDefault="00DD488B" w:rsidP="00DD488B">
      <w:pPr>
        <w:jc w:val="both"/>
        <w:rPr>
          <w:lang w:val="is-IS"/>
        </w:rPr>
      </w:pPr>
      <w:r>
        <w:rPr>
          <w:lang w:val="is-IS"/>
        </w:rPr>
        <w:t xml:space="preserve">Bindiefni eru sum afar seigfljótandi við stofuhita en </w:t>
      </w:r>
      <w:r w:rsidR="00782C15">
        <w:rPr>
          <w:lang w:val="is-IS"/>
        </w:rPr>
        <w:t xml:space="preserve">mýkjast </w:t>
      </w:r>
      <w:r>
        <w:rPr>
          <w:lang w:val="is-IS"/>
        </w:rPr>
        <w:t>ávallt með hækkandi hitastigi. Hins vegar er óheppilegt að hita þau meira en nauðsyn krefur, bæði vegna hættu á íkveikju og sömuleiðis geta þau skemmst ef hitastigið er hátt, sér í lagi við langvarandi upphitun og í snertingu við andrúmsloft. Meginreglan er sú að bindiefni skuli geyma og meðhöndla við lægsta hitastig sem samrýmist árangursríkri notkun, svo ekki sé hætta á sjálfkveikju (</w:t>
      </w:r>
      <w:r w:rsidR="00336906">
        <w:rPr>
          <w:lang w:val="is-IS"/>
        </w:rPr>
        <w:t>e.</w:t>
      </w:r>
      <w:r w:rsidR="00782C15">
        <w:rPr>
          <w:lang w:val="is-IS"/>
        </w:rPr>
        <w:t xml:space="preserve"> </w:t>
      </w:r>
      <w:r>
        <w:rPr>
          <w:lang w:val="is-IS"/>
        </w:rPr>
        <w:t>auto ignition) eða skemmdum.</w:t>
      </w:r>
    </w:p>
    <w:p w14:paraId="33D07B70" w14:textId="499988D2" w:rsidR="00DD488B" w:rsidRDefault="00DD488B" w:rsidP="00DD488B">
      <w:pPr>
        <w:ind w:firstLine="342"/>
        <w:jc w:val="both"/>
        <w:rPr>
          <w:lang w:val="is-IS"/>
        </w:rPr>
      </w:pPr>
      <w:r>
        <w:rPr>
          <w:lang w:val="is-IS"/>
        </w:rPr>
        <w:t xml:space="preserve">Þegar </w:t>
      </w:r>
      <w:r w:rsidR="00946DD5">
        <w:rPr>
          <w:lang w:val="is-IS"/>
        </w:rPr>
        <w:t>bik</w:t>
      </w:r>
      <w:r>
        <w:rPr>
          <w:lang w:val="is-IS"/>
        </w:rPr>
        <w:t xml:space="preserve"> er geymt óhreyft í tönkum langtímum saman, er rétt að lækka hitastigið niður í sem svarar 20-25°C yfir mýktarmarki </w:t>
      </w:r>
      <w:r w:rsidR="00946DD5">
        <w:rPr>
          <w:lang w:val="is-IS"/>
        </w:rPr>
        <w:t>bik</w:t>
      </w:r>
      <w:r>
        <w:rPr>
          <w:lang w:val="is-IS"/>
        </w:rPr>
        <w:t xml:space="preserve">sins (sem er mismunandi eftir gerð þess).  </w:t>
      </w:r>
    </w:p>
    <w:p w14:paraId="33D07BBF" w14:textId="77777777" w:rsidR="00DD488B" w:rsidRDefault="00DD488B" w:rsidP="00DD488B">
      <w:pPr>
        <w:rPr>
          <w:color w:val="FF0000"/>
          <w:lang w:val="is-IS"/>
        </w:rPr>
      </w:pPr>
    </w:p>
    <w:p w14:paraId="33D07BC0" w14:textId="774213D6" w:rsidR="00DD488B" w:rsidRDefault="00DD488B" w:rsidP="00DD488B">
      <w:pPr>
        <w:jc w:val="both"/>
        <w:rPr>
          <w:lang w:val="is-IS"/>
        </w:rPr>
      </w:pPr>
      <w:r>
        <w:rPr>
          <w:lang w:val="is-IS"/>
        </w:rPr>
        <w:t>Bikþeytur eru að jafnaði geymdar við 10-85°C eftir gerð þeirra, hvatar (</w:t>
      </w:r>
      <w:r w:rsidR="00336906">
        <w:rPr>
          <w:lang w:val="is-IS"/>
        </w:rPr>
        <w:t>e.</w:t>
      </w:r>
      <w:r w:rsidR="00D31BCD">
        <w:rPr>
          <w:lang w:val="is-IS"/>
        </w:rPr>
        <w:t xml:space="preserve"> </w:t>
      </w:r>
      <w:r>
        <w:rPr>
          <w:lang w:val="is-IS"/>
        </w:rPr>
        <w:t>rapid) bikþeytur við hærra hitastig en tregar (</w:t>
      </w:r>
      <w:r w:rsidR="00336906">
        <w:rPr>
          <w:lang w:val="is-IS"/>
        </w:rPr>
        <w:t>e.</w:t>
      </w:r>
      <w:r w:rsidR="00D31BCD">
        <w:rPr>
          <w:lang w:val="is-IS"/>
        </w:rPr>
        <w:t xml:space="preserve"> </w:t>
      </w:r>
      <w:r>
        <w:rPr>
          <w:lang w:val="is-IS"/>
        </w:rPr>
        <w:t>slow). Þær mega ekki frjósa (þá er hætta á að þær hlaupi) og hærra hitastig en 85°C er óheppilegt vegna uppgufunar vatns og seigjuaukningar</w:t>
      </w:r>
      <w:r w:rsidR="00BA1293">
        <w:rPr>
          <w:lang w:val="is-IS"/>
        </w:rPr>
        <w:t xml:space="preserve"> sem þá fylgir í kjölfarið</w:t>
      </w:r>
      <w:r>
        <w:rPr>
          <w:lang w:val="is-IS"/>
        </w:rPr>
        <w:t xml:space="preserve">. Hitunarfleti (spírala o.þ.h.) má mest hita í 96°C. </w:t>
      </w:r>
    </w:p>
    <w:p w14:paraId="33D07BC1" w14:textId="77777777" w:rsidR="0000703D" w:rsidRDefault="0000703D" w:rsidP="00DD488B">
      <w:pPr>
        <w:jc w:val="both"/>
        <w:rPr>
          <w:lang w:val="is-IS"/>
        </w:rPr>
      </w:pPr>
    </w:p>
    <w:p w14:paraId="33D07BC2" w14:textId="77777777" w:rsidR="0000703D" w:rsidRPr="00DF6AEE" w:rsidRDefault="0000703D" w:rsidP="0000703D">
      <w:pPr>
        <w:ind w:firstLine="340"/>
        <w:jc w:val="both"/>
        <w:rPr>
          <w:b/>
          <w:color w:val="FF0000"/>
          <w:lang w:val="is-IS"/>
        </w:rPr>
      </w:pPr>
      <w:r w:rsidRPr="00DF6AEE">
        <w:rPr>
          <w:b/>
          <w:color w:val="FF0000"/>
          <w:lang w:val="is-IS"/>
        </w:rPr>
        <w:t>ATHUGASEMD RITSTJÓRNAR Í JANÚAR 2020</w:t>
      </w:r>
    </w:p>
    <w:p w14:paraId="33D07BC3" w14:textId="55668BBB" w:rsidR="0000703D" w:rsidRPr="00DF6AEE" w:rsidRDefault="0000703D" w:rsidP="0000703D">
      <w:pPr>
        <w:spacing w:after="60"/>
        <w:jc w:val="both"/>
        <w:rPr>
          <w:color w:val="FF0000"/>
          <w:lang w:val="is-IS"/>
        </w:rPr>
      </w:pPr>
      <w:r w:rsidRPr="00DF6AEE">
        <w:rPr>
          <w:color w:val="FF0000"/>
        </w:rPr>
        <w:t>Þessi kafli fær að halda sér að mestu leyti, nema að tafla 1</w:t>
      </w:r>
      <w:r w:rsidR="00BE57FC" w:rsidRPr="00DF6AEE">
        <w:rPr>
          <w:color w:val="FF0000"/>
        </w:rPr>
        <w:t xml:space="preserve">, </w:t>
      </w:r>
      <w:r w:rsidR="00A5799E" w:rsidRPr="00DF6AEE">
        <w:rPr>
          <w:color w:val="FF0000"/>
        </w:rPr>
        <w:t>sem fjallaði um leiðbeinandi hitastig</w:t>
      </w:r>
      <w:r w:rsidR="00C10A88" w:rsidRPr="00DF6AEE">
        <w:rPr>
          <w:color w:val="FF0000"/>
        </w:rPr>
        <w:t xml:space="preserve"> </w:t>
      </w:r>
      <w:r w:rsidR="00077999" w:rsidRPr="00DF6AEE">
        <w:rPr>
          <w:color w:val="FF0000"/>
        </w:rPr>
        <w:t>fyrir meðhöndlun</w:t>
      </w:r>
      <w:r w:rsidR="00D15F2F" w:rsidRPr="00DF6AEE">
        <w:rPr>
          <w:color w:val="FF0000"/>
        </w:rPr>
        <w:t xml:space="preserve"> bikbindiefna,</w:t>
      </w:r>
      <w:r w:rsidRPr="00DF6AEE">
        <w:rPr>
          <w:color w:val="FF0000"/>
        </w:rPr>
        <w:t xml:space="preserve"> er tekin út, þar sem flokkunarkerfi fyrir þjálbik og þunnbik er ekki notað, né útskýrt frekar hér.</w:t>
      </w:r>
      <w:r w:rsidR="00180CA5" w:rsidRPr="00DF6AEE">
        <w:rPr>
          <w:color w:val="FF0000"/>
        </w:rPr>
        <w:t xml:space="preserve"> Auk þess er hitastigi malbiks gerð skil í viðkomandi framleiðslustöðlum malbiks.</w:t>
      </w:r>
    </w:p>
    <w:p w14:paraId="33D07BC4" w14:textId="77777777" w:rsidR="00F01789" w:rsidRPr="00C3131C" w:rsidRDefault="00F01789" w:rsidP="00DD488B">
      <w:pPr>
        <w:jc w:val="both"/>
        <w:rPr>
          <w:color w:val="FF0000"/>
          <w:lang w:val="is-IS"/>
        </w:rPr>
      </w:pPr>
    </w:p>
    <w:p w14:paraId="33D07BC5" w14:textId="77777777" w:rsidR="00DD488B" w:rsidRPr="006868A9" w:rsidRDefault="00DD488B" w:rsidP="006868A9">
      <w:pPr>
        <w:pStyle w:val="Heading2"/>
      </w:pPr>
      <w:bookmarkStart w:id="5" w:name="_Toc52974010"/>
      <w:r w:rsidRPr="006868A9">
        <w:t>Varúðarráðstafanir</w:t>
      </w:r>
      <w:bookmarkEnd w:id="5"/>
    </w:p>
    <w:p w14:paraId="33D07BC6" w14:textId="75258992" w:rsidR="00DD488B" w:rsidRDefault="00DD488B" w:rsidP="00DD488B">
      <w:pPr>
        <w:jc w:val="both"/>
        <w:rPr>
          <w:lang w:val="is-IS"/>
        </w:rPr>
      </w:pPr>
      <w:r>
        <w:rPr>
          <w:lang w:val="is-IS"/>
        </w:rPr>
        <w:t>Ef varúðarreglum um meðferð bindiefna er fylgt, stafar lítil eða engin hætta af þeim, en vanræksla getur orðið afdrifarík. Mörg bindiefni eru hituð í meira en 100°C við notkun, svo af þeim getur hlotist gufusprenging ef þau komast í snertingu við vatn. Snerting við heitt bindiefni getur valdið brunasárum, eins þótt hitastigið sé langt undir 100°C. Í gufum frá bindiefnum geta verið eiturefni sem geta valdið heilsuspjöllum við innöndun, svo sem brennisteinsvetni (H</w:t>
      </w:r>
      <w:r w:rsidRPr="007B6FB2">
        <w:rPr>
          <w:szCs w:val="22"/>
          <w:vertAlign w:val="subscript"/>
          <w:lang w:val="is-IS"/>
        </w:rPr>
        <w:t>2</w:t>
      </w:r>
      <w:r>
        <w:rPr>
          <w:lang w:val="is-IS"/>
        </w:rPr>
        <w:t xml:space="preserve">S). Sama er að segja um gufur frá ýmis konar íaukum; sem dæmi má nefna þynni í þunnbiki, ýruefni (emulgators) og viðloðunarefni. Í sumum tilfellum eru hættuleg efni notuð við rannsóknir á bindiefnum eða malbiki. Styrkur krabbameinsvaldandi efna er mjög lágur í bindiefnum úr </w:t>
      </w:r>
      <w:r w:rsidR="00946DD5">
        <w:rPr>
          <w:lang w:val="is-IS"/>
        </w:rPr>
        <w:t>bik</w:t>
      </w:r>
      <w:r>
        <w:rPr>
          <w:lang w:val="is-IS"/>
        </w:rPr>
        <w:t>i og þau eru ekki talin krabbameinsvaldandi ef settum varúðarreglum er fylgt.</w:t>
      </w:r>
    </w:p>
    <w:p w14:paraId="33D07BC7" w14:textId="77777777" w:rsidR="00DD488B" w:rsidRDefault="00DD488B" w:rsidP="00DD488B">
      <w:pPr>
        <w:ind w:firstLine="342"/>
        <w:jc w:val="both"/>
        <w:rPr>
          <w:lang w:val="is-IS"/>
        </w:rPr>
      </w:pPr>
      <w:r>
        <w:rPr>
          <w:lang w:val="is-IS"/>
        </w:rPr>
        <w:t>Við vinnu með heitt bindiefni þarf að nota tilheyrandi hlífðarföt</w:t>
      </w:r>
      <w:r w:rsidR="00BA1293">
        <w:rPr>
          <w:lang w:val="is-IS"/>
        </w:rPr>
        <w:t>,</w:t>
      </w:r>
      <w:r>
        <w:rPr>
          <w:lang w:val="is-IS"/>
        </w:rPr>
        <w:t xml:space="preserve"> sér í lagi hitaþolna hanska með líningum sem falla þétt að </w:t>
      </w:r>
      <w:r w:rsidR="00BA1293">
        <w:rPr>
          <w:lang w:val="is-IS"/>
        </w:rPr>
        <w:t xml:space="preserve">ermum </w:t>
      </w:r>
      <w:r>
        <w:rPr>
          <w:lang w:val="is-IS"/>
        </w:rPr>
        <w:t>svo að bindiefni renni ekki ofan í þá fyrir slysni, hlífðargler</w:t>
      </w:r>
      <w:r>
        <w:rPr>
          <w:lang w:val="is-IS"/>
        </w:rPr>
        <w:softHyphen/>
        <w:t xml:space="preserve">augu, andlitshlífar og samfesting. </w:t>
      </w:r>
    </w:p>
    <w:p w14:paraId="33D07BC8" w14:textId="77777777" w:rsidR="00DD488B" w:rsidRDefault="00DD488B" w:rsidP="00DD488B">
      <w:pPr>
        <w:ind w:firstLine="342"/>
        <w:jc w:val="both"/>
        <w:rPr>
          <w:lang w:val="is-IS"/>
        </w:rPr>
      </w:pPr>
      <w:r>
        <w:rPr>
          <w:lang w:val="is-IS"/>
        </w:rPr>
        <w:t xml:space="preserve">Ef heitt bik slettist á hörund á að kæla staðinn með rennandi vatni í minnst 10 mínútur, en alls ekki reyna að ná bikinu af nema það sé laust, og leita læknis sem fyrst. Þegar bikið er orðið kalt gerir það engan frekari skaða og virkar sem dauðhreinsaðar umbúðir þar til það losnar sjálfkrafa af, venjulega eftir fáeina daga. </w:t>
      </w:r>
    </w:p>
    <w:p w14:paraId="33D07BC9" w14:textId="3C1BA0EC" w:rsidR="00DD488B" w:rsidRDefault="00DD488B" w:rsidP="00DD488B">
      <w:pPr>
        <w:ind w:firstLine="342"/>
        <w:jc w:val="both"/>
        <w:rPr>
          <w:lang w:val="is-IS"/>
        </w:rPr>
      </w:pPr>
      <w:r>
        <w:rPr>
          <w:lang w:val="is-IS"/>
        </w:rPr>
        <w:t xml:space="preserve">Þynnir í þunnbiki getur verið mjög eld- og sprengifimur og þess vegna þarf að fara mjög varlega með opinn eld þar sem unnið er með heitt þunnbik. Vatn er ekki heppilegt til að slökkva eld í </w:t>
      </w:r>
      <w:r w:rsidR="00105B08">
        <w:rPr>
          <w:lang w:val="is-IS"/>
        </w:rPr>
        <w:t>biki</w:t>
      </w:r>
      <w:r>
        <w:rPr>
          <w:lang w:val="is-IS"/>
        </w:rPr>
        <w:t>- eða þunnbiki, duft eða froða er heppilegri.</w:t>
      </w:r>
    </w:p>
    <w:p w14:paraId="33D07BCA" w14:textId="77777777" w:rsidR="00180CA5" w:rsidRDefault="00180CA5" w:rsidP="00DD488B">
      <w:pPr>
        <w:ind w:firstLine="342"/>
        <w:jc w:val="both"/>
        <w:rPr>
          <w:lang w:val="is-IS"/>
        </w:rPr>
      </w:pPr>
    </w:p>
    <w:p w14:paraId="33D07BCB" w14:textId="77777777" w:rsidR="00180CA5" w:rsidRPr="00ED3AB2" w:rsidRDefault="00180CA5" w:rsidP="00180CA5">
      <w:pPr>
        <w:ind w:firstLine="340"/>
        <w:jc w:val="both"/>
        <w:rPr>
          <w:b/>
          <w:color w:val="FF0000"/>
          <w:lang w:val="is-IS"/>
        </w:rPr>
      </w:pPr>
      <w:r w:rsidRPr="00ED3AB2">
        <w:rPr>
          <w:b/>
          <w:color w:val="FF0000"/>
          <w:lang w:val="is-IS"/>
        </w:rPr>
        <w:t>ATHUGASEMD RITSTJÓRNAR Í JANÚAR 2020</w:t>
      </w:r>
    </w:p>
    <w:p w14:paraId="33D07BCC" w14:textId="77777777" w:rsidR="00180CA5" w:rsidRPr="00ED3AB2" w:rsidRDefault="00180CA5" w:rsidP="00180CA5">
      <w:pPr>
        <w:spacing w:after="60"/>
        <w:jc w:val="both"/>
        <w:rPr>
          <w:color w:val="FF0000"/>
          <w:lang w:val="is-IS"/>
        </w:rPr>
      </w:pPr>
      <w:r w:rsidRPr="00ED3AB2">
        <w:rPr>
          <w:color w:val="FF0000"/>
        </w:rPr>
        <w:t>Þessi kafli fær að halda sér að langmestu leyti.</w:t>
      </w:r>
    </w:p>
    <w:p w14:paraId="33D07BCD" w14:textId="77777777" w:rsidR="00DD488B" w:rsidRPr="006868A9" w:rsidRDefault="00DD488B" w:rsidP="006868A9">
      <w:pPr>
        <w:pStyle w:val="Heading2"/>
      </w:pPr>
      <w:bookmarkStart w:id="6" w:name="_Toc52974011"/>
      <w:r w:rsidRPr="006868A9">
        <w:t>Flokkunarkerfi fyrir bikbindiefni</w:t>
      </w:r>
      <w:bookmarkEnd w:id="6"/>
    </w:p>
    <w:p w14:paraId="33D07BCE" w14:textId="77777777" w:rsidR="00DD488B" w:rsidRDefault="00DD488B" w:rsidP="00DD488B">
      <w:pPr>
        <w:jc w:val="both"/>
        <w:rPr>
          <w:lang w:val="is-IS"/>
        </w:rPr>
      </w:pPr>
      <w:r w:rsidRPr="008B15D7">
        <w:rPr>
          <w:lang w:val="is-IS"/>
        </w:rPr>
        <w:t xml:space="preserve">Upplýsingar um flokkunarkerfin sem hér er lýst eru ýmist sótt </w:t>
      </w:r>
      <w:r>
        <w:rPr>
          <w:lang w:val="is-IS"/>
        </w:rPr>
        <w:t>í staðla (ÍST-EN) eða frumvörp að stöðlum (prEN). Flokkunarkerfi</w:t>
      </w:r>
      <w:r w:rsidR="00C4702C">
        <w:rPr>
          <w:lang w:val="is-IS"/>
        </w:rPr>
        <w:t xml:space="preserve"> þessara staðla</w:t>
      </w:r>
      <w:r>
        <w:rPr>
          <w:lang w:val="is-IS"/>
        </w:rPr>
        <w:t xml:space="preserve"> fyrir þunnbik og bikþeytur eru mikið breytt frá flokkunarkerfunum sem hafa tíðkast fram til þessa. </w:t>
      </w:r>
    </w:p>
    <w:p w14:paraId="33D07BCF" w14:textId="77777777" w:rsidR="00DD488B" w:rsidRPr="008B15D7" w:rsidRDefault="00DD488B" w:rsidP="00DD488B">
      <w:pPr>
        <w:jc w:val="both"/>
        <w:rPr>
          <w:lang w:val="is-IS"/>
        </w:rPr>
      </w:pPr>
      <w:r>
        <w:rPr>
          <w:lang w:val="is-IS"/>
        </w:rPr>
        <w:t xml:space="preserve"> </w:t>
      </w:r>
    </w:p>
    <w:p w14:paraId="33D07BD0" w14:textId="7E146EF9" w:rsidR="00DD488B" w:rsidRDefault="00946DD5" w:rsidP="00DD488B">
      <w:pPr>
        <w:jc w:val="both"/>
        <w:rPr>
          <w:lang w:val="is-IS"/>
        </w:rPr>
      </w:pPr>
      <w:r>
        <w:rPr>
          <w:b/>
          <w:lang w:val="is-IS"/>
        </w:rPr>
        <w:lastRenderedPageBreak/>
        <w:t>Bik</w:t>
      </w:r>
      <w:r w:rsidR="00DD488B">
        <w:rPr>
          <w:lang w:val="is-IS"/>
        </w:rPr>
        <w:t xml:space="preserve"> er auðkennt með stungudýpt og er flokkað eftir henni. Stungudýpt segir til um hversu djúpt nál af tiltekinni gerð sekkur í sýni af </w:t>
      </w:r>
      <w:r>
        <w:rPr>
          <w:lang w:val="is-IS"/>
        </w:rPr>
        <w:t>bik</w:t>
      </w:r>
      <w:r w:rsidR="00DD488B">
        <w:rPr>
          <w:lang w:val="is-IS"/>
        </w:rPr>
        <w:t xml:space="preserve">i undir tilteknum kringumstæðum. Því minni sem stungudýptin er þeim mun stífara (harðara) er bikið. Ein eining á stungudýptarmælikvarðanum er 1/10 úr mm. Dæmi; </w:t>
      </w:r>
      <w:r w:rsidR="00105B08">
        <w:rPr>
          <w:lang w:val="is-IS"/>
        </w:rPr>
        <w:t xml:space="preserve">PG </w:t>
      </w:r>
      <w:r w:rsidR="00DD488B">
        <w:rPr>
          <w:lang w:val="is-IS"/>
        </w:rPr>
        <w:t xml:space="preserve">160/220 táknar </w:t>
      </w:r>
      <w:r>
        <w:rPr>
          <w:lang w:val="is-IS"/>
        </w:rPr>
        <w:t>bik</w:t>
      </w:r>
      <w:r w:rsidR="00DD488B">
        <w:rPr>
          <w:lang w:val="is-IS"/>
        </w:rPr>
        <w:t xml:space="preserve"> með stungudýpt á bilinu 16-22 mm.</w:t>
      </w:r>
    </w:p>
    <w:p w14:paraId="33D07BD1" w14:textId="77777777" w:rsidR="00DD488B" w:rsidRDefault="00DD488B" w:rsidP="00DD488B">
      <w:pPr>
        <w:jc w:val="both"/>
        <w:rPr>
          <w:b/>
          <w:lang w:val="is-IS"/>
        </w:rPr>
      </w:pPr>
    </w:p>
    <w:p w14:paraId="33D07BD2" w14:textId="772BE649" w:rsidR="00DD488B" w:rsidRDefault="00DD488B" w:rsidP="00DD488B">
      <w:pPr>
        <w:jc w:val="both"/>
        <w:rPr>
          <w:lang w:val="is-IS"/>
        </w:rPr>
      </w:pPr>
      <w:r w:rsidRPr="00F35C48">
        <w:rPr>
          <w:b/>
          <w:lang w:val="is-IS"/>
        </w:rPr>
        <w:t>Þunnbik</w:t>
      </w:r>
      <w:r w:rsidR="00105B08">
        <w:rPr>
          <w:b/>
          <w:lang w:val="is-IS"/>
        </w:rPr>
        <w:t>/þjálbik</w:t>
      </w:r>
      <w:r w:rsidRPr="00F35C48">
        <w:rPr>
          <w:b/>
          <w:lang w:val="is-IS"/>
        </w:rPr>
        <w:t xml:space="preserve"> </w:t>
      </w:r>
      <w:r>
        <w:rPr>
          <w:lang w:val="is-IS"/>
        </w:rPr>
        <w:t xml:space="preserve">er auðkennt með sex stafa kerfi. Í fyrstu tveim sætunum eru Fm eða Fv (eftir því hvort bikið er þynnt (F) með þynni úr jarðolíu (m) eða </w:t>
      </w:r>
      <w:r w:rsidR="00105B08">
        <w:rPr>
          <w:lang w:val="is-IS"/>
        </w:rPr>
        <w:t xml:space="preserve">lífolíu </w:t>
      </w:r>
      <w:r>
        <w:rPr>
          <w:lang w:val="is-IS"/>
        </w:rPr>
        <w:t xml:space="preserve">(v). Í þriðja sætinu er tölustafur á bilinu 2-9 og hann segir til um seigju þunnbiksins. Í fjórða og fimmta sæti eru bókstafir, B í því fyrra sem táknar </w:t>
      </w:r>
      <w:r w:rsidR="00946DD5">
        <w:rPr>
          <w:lang w:val="is-IS"/>
        </w:rPr>
        <w:t>bik</w:t>
      </w:r>
      <w:r>
        <w:rPr>
          <w:lang w:val="is-IS"/>
        </w:rPr>
        <w:t xml:space="preserve">, P í því síðara ef bindiefnið er breytt (modified). Í sjötta sæti er tölustafur. Ef þynnirinn er unninn úr jarðolíu er tölustafurinn á bilinu 2-6 og segir hversu mikið af þynninum gufar upp við 225°C. Ef </w:t>
      </w:r>
      <w:r w:rsidR="00180CA5">
        <w:rPr>
          <w:lang w:val="is-IS"/>
        </w:rPr>
        <w:t xml:space="preserve">mýkingarefnið </w:t>
      </w:r>
      <w:r>
        <w:rPr>
          <w:lang w:val="is-IS"/>
        </w:rPr>
        <w:t xml:space="preserve">er </w:t>
      </w:r>
      <w:r w:rsidR="00105B08">
        <w:rPr>
          <w:lang w:val="is-IS"/>
        </w:rPr>
        <w:t>líf</w:t>
      </w:r>
      <w:r>
        <w:rPr>
          <w:lang w:val="is-IS"/>
        </w:rPr>
        <w:t>olía er tölustafurinn á bilinu 2-7 og vísar til mýktarmarks eimingarleifarinnar (eftir eimingu við 360°C). Dæmi; F</w:t>
      </w:r>
      <w:r w:rsidR="00105B08">
        <w:rPr>
          <w:lang w:val="is-IS"/>
        </w:rPr>
        <w:t>v</w:t>
      </w:r>
      <w:r>
        <w:rPr>
          <w:lang w:val="is-IS"/>
        </w:rPr>
        <w:t xml:space="preserve"> 5 B 6 táknar </w:t>
      </w:r>
      <w:r w:rsidR="00105B08">
        <w:rPr>
          <w:lang w:val="is-IS"/>
        </w:rPr>
        <w:t>þjál</w:t>
      </w:r>
      <w:r>
        <w:rPr>
          <w:lang w:val="is-IS"/>
        </w:rPr>
        <w:t xml:space="preserve">bik (F) </w:t>
      </w:r>
      <w:r w:rsidR="00487B7E">
        <w:rPr>
          <w:lang w:val="is-IS"/>
        </w:rPr>
        <w:t xml:space="preserve">mýktu með lífolíu (v) </w:t>
      </w:r>
      <w:r>
        <w:rPr>
          <w:lang w:val="is-IS"/>
        </w:rPr>
        <w:t xml:space="preserve">með miðlungs seigju (5), gert úr </w:t>
      </w:r>
      <w:r w:rsidR="00946DD5">
        <w:rPr>
          <w:lang w:val="is-IS"/>
        </w:rPr>
        <w:t>bik</w:t>
      </w:r>
      <w:r>
        <w:rPr>
          <w:lang w:val="is-IS"/>
        </w:rPr>
        <w:t xml:space="preserve">i (B) og 60% hans gufa upp við eimingu við </w:t>
      </w:r>
      <w:r w:rsidR="00A25FF3">
        <w:rPr>
          <w:lang w:val="is-IS"/>
        </w:rPr>
        <w:t>360</w:t>
      </w:r>
      <w:r>
        <w:rPr>
          <w:lang w:val="is-IS"/>
        </w:rPr>
        <w:t xml:space="preserve">°C.    </w:t>
      </w:r>
    </w:p>
    <w:p w14:paraId="33D07BD3" w14:textId="77777777" w:rsidR="00DD488B" w:rsidRDefault="00DD488B" w:rsidP="00DD488B">
      <w:pPr>
        <w:rPr>
          <w:b/>
          <w:lang w:val="is-IS"/>
        </w:rPr>
      </w:pPr>
    </w:p>
    <w:p w14:paraId="33D07BD4" w14:textId="1503570E" w:rsidR="00DD488B" w:rsidRDefault="00DD488B" w:rsidP="00DD488B">
      <w:pPr>
        <w:jc w:val="both"/>
        <w:rPr>
          <w:lang w:val="is-IS"/>
        </w:rPr>
      </w:pPr>
      <w:r w:rsidRPr="00A725AB">
        <w:rPr>
          <w:b/>
          <w:lang w:val="is-IS"/>
        </w:rPr>
        <w:t>Bikþeyta</w:t>
      </w:r>
      <w:r>
        <w:rPr>
          <w:lang w:val="is-IS"/>
        </w:rPr>
        <w:t xml:space="preserve"> er auðkennd með sjö stafa kerfi. Í fyrsta sætinu er bókstafur sem sýnir hleðslu bikþeytunnar, C táknar jákvætt hlaðna bikþeytu</w:t>
      </w:r>
      <w:r w:rsidR="00A25FF3">
        <w:rPr>
          <w:lang w:val="is-IS"/>
        </w:rPr>
        <w:t xml:space="preserve"> (e. cationic)</w:t>
      </w:r>
      <w:r>
        <w:rPr>
          <w:lang w:val="is-IS"/>
        </w:rPr>
        <w:t>. Í öðru og þriðja sæti er tala sem sýnir hversu mikill hluti (í %) af bi</w:t>
      </w:r>
      <w:r w:rsidR="00F86F17">
        <w:rPr>
          <w:lang w:val="is-IS"/>
        </w:rPr>
        <w:t>kþeytunni er virkt bindiefni (69</w:t>
      </w:r>
      <w:r>
        <w:rPr>
          <w:lang w:val="is-IS"/>
        </w:rPr>
        <w:t xml:space="preserve">% er algengt). Í fjórða sæti (og næstu tveim sætum ef þörf krefur) eru bókstafir, einn eða fleiri. Í fjórða sætinu er B, sem táknar </w:t>
      </w:r>
      <w:r w:rsidR="00946DD5">
        <w:rPr>
          <w:lang w:val="is-IS"/>
        </w:rPr>
        <w:t>bik</w:t>
      </w:r>
      <w:r>
        <w:rPr>
          <w:lang w:val="is-IS"/>
        </w:rPr>
        <w:t xml:space="preserve">. Ef </w:t>
      </w:r>
      <w:r w:rsidR="00946DD5">
        <w:rPr>
          <w:lang w:val="is-IS"/>
        </w:rPr>
        <w:t>bik</w:t>
      </w:r>
      <w:r>
        <w:rPr>
          <w:lang w:val="is-IS"/>
        </w:rPr>
        <w:t xml:space="preserve">ið er breytt (með fjölliðum) kemur bókstafurinn P þar á eftir, og síðan bókstafurinn F (annar hvor eða báðir eftir atvikum) ef meira en 2% af bikþeytunni er þynnir. Í fimmta, sjötta eða sjöunda sæti (eftir því hversu mörg sæti hafa verið notuð áður) er tala á bilinu 1-7 sem lýsir </w:t>
      </w:r>
      <w:r w:rsidR="00A25FF3">
        <w:rPr>
          <w:lang w:val="is-IS"/>
        </w:rPr>
        <w:t xml:space="preserve">brothraða </w:t>
      </w:r>
      <w:r w:rsidR="00F86F17">
        <w:rPr>
          <w:lang w:val="is-IS"/>
        </w:rPr>
        <w:t>bikþeytunnar. Dæmi; C69</w:t>
      </w:r>
      <w:r>
        <w:rPr>
          <w:lang w:val="is-IS"/>
        </w:rPr>
        <w:t> BF 3 er jákvætt hlaðin bikþeyta (C) sem er að 6</w:t>
      </w:r>
      <w:r w:rsidR="00F86F17">
        <w:rPr>
          <w:lang w:val="is-IS"/>
        </w:rPr>
        <w:t>9</w:t>
      </w:r>
      <w:r>
        <w:rPr>
          <w:lang w:val="is-IS"/>
        </w:rPr>
        <w:t xml:space="preserve"> hundraðshlutum úr </w:t>
      </w:r>
      <w:r w:rsidR="00946DD5">
        <w:rPr>
          <w:lang w:val="is-IS"/>
        </w:rPr>
        <w:t>bik</w:t>
      </w:r>
      <w:r>
        <w:rPr>
          <w:lang w:val="is-IS"/>
        </w:rPr>
        <w:t>i, blönduð þynni sem vegur meira en 2% af þyngd bikþeytunnar</w:t>
      </w:r>
      <w:r w:rsidR="00A25FF3">
        <w:rPr>
          <w:lang w:val="is-IS"/>
        </w:rPr>
        <w:t xml:space="preserve"> (F)</w:t>
      </w:r>
      <w:r>
        <w:rPr>
          <w:lang w:val="is-IS"/>
        </w:rPr>
        <w:t xml:space="preserve"> og hefur </w:t>
      </w:r>
      <w:r w:rsidR="00A25FF3">
        <w:rPr>
          <w:lang w:val="is-IS"/>
        </w:rPr>
        <w:t xml:space="preserve">brothraða </w:t>
      </w:r>
      <w:r>
        <w:rPr>
          <w:lang w:val="is-IS"/>
        </w:rPr>
        <w:t xml:space="preserve">samkvæmt 3. flokki.   </w:t>
      </w:r>
    </w:p>
    <w:p w14:paraId="33D07BD5" w14:textId="77777777" w:rsidR="00180CA5" w:rsidRDefault="00180CA5" w:rsidP="00DD488B">
      <w:pPr>
        <w:jc w:val="both"/>
        <w:rPr>
          <w:lang w:val="is-IS"/>
        </w:rPr>
      </w:pPr>
    </w:p>
    <w:p w14:paraId="33D07BD6" w14:textId="77777777" w:rsidR="00180CA5" w:rsidRPr="00D62BB4" w:rsidRDefault="00180CA5" w:rsidP="00180CA5">
      <w:pPr>
        <w:ind w:firstLine="340"/>
        <w:jc w:val="both"/>
        <w:rPr>
          <w:b/>
          <w:color w:val="FF0000"/>
          <w:lang w:val="is-IS"/>
        </w:rPr>
      </w:pPr>
      <w:r w:rsidRPr="00D62BB4">
        <w:rPr>
          <w:b/>
          <w:color w:val="FF0000"/>
          <w:lang w:val="is-IS"/>
        </w:rPr>
        <w:t>ATHUGASEMD RITSTJÓRNAR Í JANÚAR 2020</w:t>
      </w:r>
    </w:p>
    <w:p w14:paraId="33D07BD8" w14:textId="65C7388C" w:rsidR="00180CA5" w:rsidRPr="00D14E7C" w:rsidRDefault="00180CA5" w:rsidP="00D14E7C">
      <w:pPr>
        <w:spacing w:after="60"/>
        <w:jc w:val="both"/>
        <w:rPr>
          <w:color w:val="FF0000"/>
          <w:lang w:val="is-IS"/>
        </w:rPr>
      </w:pPr>
      <w:r w:rsidRPr="00D62BB4">
        <w:rPr>
          <w:color w:val="FF0000"/>
        </w:rPr>
        <w:t>Þessi kafli fær að halda sér að mestu leyti, þó eru lítilsháttar breytingar gerðar á orðavali í samræmi við hefðir nú.</w:t>
      </w:r>
    </w:p>
    <w:p w14:paraId="33D07BD9" w14:textId="77777777" w:rsidR="00DD488B" w:rsidRPr="006868A9" w:rsidRDefault="00DD488B" w:rsidP="006868A9">
      <w:pPr>
        <w:pStyle w:val="Heading2"/>
      </w:pPr>
      <w:bookmarkStart w:id="7" w:name="_Toc52974012"/>
      <w:r w:rsidRPr="006868A9">
        <w:t>Notagildi og eiginleikar</w:t>
      </w:r>
      <w:bookmarkEnd w:id="7"/>
      <w:r w:rsidRPr="006868A9">
        <w:t xml:space="preserve"> </w:t>
      </w:r>
    </w:p>
    <w:p w14:paraId="33D07BDA" w14:textId="7B80D8A5" w:rsidR="00DD488B" w:rsidRDefault="00946DD5" w:rsidP="00DD488B">
      <w:pPr>
        <w:tabs>
          <w:tab w:val="left" w:pos="7866"/>
        </w:tabs>
        <w:jc w:val="both"/>
        <w:rPr>
          <w:lang w:val="is-IS"/>
        </w:rPr>
      </w:pPr>
      <w:r>
        <w:rPr>
          <w:b/>
          <w:lang w:val="is-IS"/>
        </w:rPr>
        <w:t>Bik</w:t>
      </w:r>
      <w:r w:rsidR="00DD488B" w:rsidRPr="00AD0D25">
        <w:rPr>
          <w:b/>
          <w:lang w:val="is-IS"/>
        </w:rPr>
        <w:t>.</w:t>
      </w:r>
      <w:r w:rsidR="00DD488B">
        <w:rPr>
          <w:lang w:val="is-IS"/>
        </w:rPr>
        <w:t xml:space="preserve"> Sem stendur eru aðeins tvær gerðir </w:t>
      </w:r>
      <w:r>
        <w:rPr>
          <w:lang w:val="is-IS"/>
        </w:rPr>
        <w:t>bik</w:t>
      </w:r>
      <w:r w:rsidR="00DD488B">
        <w:rPr>
          <w:lang w:val="is-IS"/>
        </w:rPr>
        <w:t xml:space="preserve">s notaðar hérlendis, </w:t>
      </w:r>
      <w:r w:rsidR="00A25FF3">
        <w:rPr>
          <w:lang w:val="is-IS"/>
        </w:rPr>
        <w:t xml:space="preserve">PG </w:t>
      </w:r>
      <w:r w:rsidR="00DD488B">
        <w:rPr>
          <w:lang w:val="is-IS"/>
        </w:rPr>
        <w:t xml:space="preserve">70/100 og </w:t>
      </w:r>
      <w:r w:rsidR="00A25FF3">
        <w:rPr>
          <w:lang w:val="is-IS"/>
        </w:rPr>
        <w:t xml:space="preserve">PG </w:t>
      </w:r>
      <w:r w:rsidR="00DD488B">
        <w:rPr>
          <w:lang w:val="is-IS"/>
        </w:rPr>
        <w:t xml:space="preserve">160/220, í daglegu tali kallaðar hart og mjúkt bik. Fyrrnefnda gerðin er stífari (harðari) en sú síðarnefnda. Malbik með </w:t>
      </w:r>
      <w:r w:rsidR="00A25FF3">
        <w:rPr>
          <w:lang w:val="is-IS"/>
        </w:rPr>
        <w:t xml:space="preserve">PG </w:t>
      </w:r>
      <w:r w:rsidR="00DD488B">
        <w:rPr>
          <w:lang w:val="is-IS"/>
        </w:rPr>
        <w:t xml:space="preserve">70/100 sem bindiefni er fyrst og fremst notað þar sem umferð er mikil og þung (stofnbrautir á höfuðborgarsvæðinu) á hafnarbakka og á stæði fyrir þungavöru og gáma vegna þess að það skríður síður í miklum hita en malbik með mýkra bindiefni. </w:t>
      </w:r>
      <w:r w:rsidR="00A25FF3">
        <w:rPr>
          <w:lang w:val="is-IS"/>
        </w:rPr>
        <w:t xml:space="preserve">PG </w:t>
      </w:r>
      <w:r w:rsidR="00DD488B">
        <w:rPr>
          <w:lang w:val="is-IS"/>
        </w:rPr>
        <w:t>160/220 er notað þar sem umferð er minni og léttari og sem uppistaða í þunnbik</w:t>
      </w:r>
      <w:r w:rsidR="00A25FF3">
        <w:rPr>
          <w:lang w:val="is-IS"/>
        </w:rPr>
        <w:t>, þjálbik</w:t>
      </w:r>
      <w:r w:rsidR="00DD488B">
        <w:rPr>
          <w:lang w:val="is-IS"/>
        </w:rPr>
        <w:t xml:space="preserve"> og bikþeytur. Að öðru leyti hefur malbik með mjúku bindiefni ýmsa kosti fram yfir malbik með hörðu bindiefni, hið fyrrnefnda er hægt að leggja í kaldara veðri, sömuleiðis gerir það minni kröfur til undirbyggingar vegna þess að það lagar sig fremur að missigi án þess að rifna heldur en malbik með hörðu bindiefni, sem er stökkara, einkum í kuldum. </w:t>
      </w:r>
      <w:r>
        <w:rPr>
          <w:lang w:val="is-IS"/>
        </w:rPr>
        <w:t>Bik</w:t>
      </w:r>
      <w:r w:rsidR="00DD488B">
        <w:rPr>
          <w:lang w:val="is-IS"/>
        </w:rPr>
        <w:t xml:space="preserve"> er að langmestu leyti notað í malbik, sem er blandað í malbikunarstöð, flutt heitt (kringum 160°C) á bílum á útlagnarstað þar sem það er lagt út í hæfilegri þykkt í þar til gerðum vélum</w:t>
      </w:r>
      <w:r w:rsidR="00A25FF3">
        <w:rPr>
          <w:lang w:val="is-IS"/>
        </w:rPr>
        <w:t xml:space="preserve"> og síðan valtað</w:t>
      </w:r>
      <w:r w:rsidR="00DD488B">
        <w:rPr>
          <w:lang w:val="is-IS"/>
        </w:rPr>
        <w:t>. Malbik kólnar nægilega hratt til að hægt sé að aka á því fáeinum klukkustundum eftir að það er lagt.</w:t>
      </w:r>
    </w:p>
    <w:p w14:paraId="33D07BDB" w14:textId="77777777" w:rsidR="00DD488B" w:rsidRDefault="00DD488B" w:rsidP="00DD488B">
      <w:pPr>
        <w:jc w:val="both"/>
        <w:rPr>
          <w:lang w:val="is-IS"/>
        </w:rPr>
      </w:pPr>
    </w:p>
    <w:p w14:paraId="33D07BDC" w14:textId="05EC852A" w:rsidR="00DD488B" w:rsidRDefault="00DD488B" w:rsidP="00DD488B">
      <w:pPr>
        <w:jc w:val="both"/>
        <w:rPr>
          <w:lang w:val="is-IS"/>
        </w:rPr>
      </w:pPr>
      <w:r w:rsidRPr="00AD0D25">
        <w:rPr>
          <w:b/>
          <w:lang w:val="is-IS"/>
        </w:rPr>
        <w:t>Þ</w:t>
      </w:r>
      <w:r w:rsidR="00C530F4">
        <w:rPr>
          <w:b/>
          <w:lang w:val="is-IS"/>
        </w:rPr>
        <w:t>jálbik/þ</w:t>
      </w:r>
      <w:r w:rsidRPr="00AD0D25">
        <w:rPr>
          <w:b/>
          <w:lang w:val="is-IS"/>
        </w:rPr>
        <w:t>unnbik.</w:t>
      </w:r>
      <w:r>
        <w:rPr>
          <w:lang w:val="is-IS"/>
        </w:rPr>
        <w:t xml:space="preserve"> Þ</w:t>
      </w:r>
      <w:r w:rsidR="00C530F4">
        <w:rPr>
          <w:lang w:val="is-IS"/>
        </w:rPr>
        <w:t>jálbik/þ</w:t>
      </w:r>
      <w:r>
        <w:rPr>
          <w:lang w:val="is-IS"/>
        </w:rPr>
        <w:t xml:space="preserve">unnbik má blanda á fjölmarga vegu en hérlendis eru mestmegnis notaðar blöndur af </w:t>
      </w:r>
      <w:r w:rsidR="0054524C">
        <w:rPr>
          <w:lang w:val="is-IS"/>
        </w:rPr>
        <w:t xml:space="preserve">PG </w:t>
      </w:r>
      <w:r>
        <w:rPr>
          <w:lang w:val="is-IS"/>
        </w:rPr>
        <w:t xml:space="preserve">160/220 </w:t>
      </w:r>
      <w:r w:rsidR="00F87196">
        <w:rPr>
          <w:lang w:val="is-IS"/>
        </w:rPr>
        <w:t xml:space="preserve">biki </w:t>
      </w:r>
      <w:r>
        <w:rPr>
          <w:lang w:val="is-IS"/>
        </w:rPr>
        <w:t xml:space="preserve">og </w:t>
      </w:r>
      <w:r w:rsidR="00C530F4">
        <w:rPr>
          <w:lang w:val="is-IS"/>
        </w:rPr>
        <w:t xml:space="preserve">lífolíu (ethylester úr lýsi) </w:t>
      </w:r>
      <w:r>
        <w:rPr>
          <w:lang w:val="is-IS"/>
        </w:rPr>
        <w:t xml:space="preserve">í </w:t>
      </w:r>
      <w:r w:rsidR="00C530F4">
        <w:rPr>
          <w:lang w:val="is-IS"/>
        </w:rPr>
        <w:t>klæðingar sem kallað</w:t>
      </w:r>
      <w:r w:rsidR="001B37F3">
        <w:rPr>
          <w:lang w:val="is-IS"/>
        </w:rPr>
        <w:t>ar</w:t>
      </w:r>
      <w:r w:rsidR="00C530F4">
        <w:rPr>
          <w:lang w:val="is-IS"/>
        </w:rPr>
        <w:t xml:space="preserve"> er</w:t>
      </w:r>
      <w:r w:rsidR="00260176">
        <w:rPr>
          <w:lang w:val="is-IS"/>
        </w:rPr>
        <w:t>u</w:t>
      </w:r>
      <w:r w:rsidR="00C530F4">
        <w:rPr>
          <w:lang w:val="is-IS"/>
        </w:rPr>
        <w:t xml:space="preserve"> þjálbik</w:t>
      </w:r>
      <w:r>
        <w:rPr>
          <w:lang w:val="is-IS"/>
        </w:rPr>
        <w:t>.</w:t>
      </w:r>
      <w:r w:rsidR="00C530F4">
        <w:rPr>
          <w:lang w:val="is-IS"/>
        </w:rPr>
        <w:t xml:space="preserve"> Áður fyrr var bik þynnt með hvítspíra nær eingöngu notað í klæðingar, svokallað þunnbik, en nú er það einungis notað í undantekningartilfellum</w:t>
      </w:r>
      <w:r w:rsidR="0045400B">
        <w:rPr>
          <w:lang w:val="is-IS"/>
        </w:rPr>
        <w:t xml:space="preserve"> í köldu veðri</w:t>
      </w:r>
      <w:r w:rsidR="00C530F4">
        <w:rPr>
          <w:lang w:val="is-IS"/>
        </w:rPr>
        <w:t>.</w:t>
      </w:r>
    </w:p>
    <w:p w14:paraId="33D07BDD" w14:textId="686B6176" w:rsidR="00DD488B" w:rsidRDefault="00DD488B" w:rsidP="00DD488B">
      <w:pPr>
        <w:ind w:firstLine="342"/>
        <w:jc w:val="both"/>
        <w:rPr>
          <w:lang w:val="is-IS"/>
        </w:rPr>
      </w:pPr>
      <w:r>
        <w:rPr>
          <w:lang w:val="is-IS"/>
        </w:rPr>
        <w:t xml:space="preserve">Klæðingar úr </w:t>
      </w:r>
      <w:r w:rsidR="00C530F4">
        <w:rPr>
          <w:lang w:val="is-IS"/>
        </w:rPr>
        <w:t>þjál</w:t>
      </w:r>
      <w:r>
        <w:rPr>
          <w:lang w:val="is-IS"/>
        </w:rPr>
        <w:t>biki eru gerðar með því að sprauta</w:t>
      </w:r>
      <w:r w:rsidR="00C530F4">
        <w:rPr>
          <w:lang w:val="is-IS"/>
        </w:rPr>
        <w:t xml:space="preserve"> u.þ.b. 135-140°C</w:t>
      </w:r>
      <w:r>
        <w:rPr>
          <w:lang w:val="is-IS"/>
        </w:rPr>
        <w:t xml:space="preserve"> heitu þ</w:t>
      </w:r>
      <w:r w:rsidR="00C530F4">
        <w:rPr>
          <w:lang w:val="is-IS"/>
        </w:rPr>
        <w:t>jál</w:t>
      </w:r>
      <w:r>
        <w:rPr>
          <w:lang w:val="is-IS"/>
        </w:rPr>
        <w:t>biki á veginn í þunnu lagi og strá steinefni ofan í það strax á eftir. Þ</w:t>
      </w:r>
      <w:r w:rsidR="00C530F4">
        <w:rPr>
          <w:lang w:val="is-IS"/>
        </w:rPr>
        <w:t>jál</w:t>
      </w:r>
      <w:r>
        <w:rPr>
          <w:lang w:val="is-IS"/>
        </w:rPr>
        <w:t>bikið kólnar mjög hratt og þess vegna er hægt að aka á klæðingum nánast strax og þær hafa verið lagðar</w:t>
      </w:r>
      <w:r w:rsidR="00920250">
        <w:rPr>
          <w:lang w:val="is-IS"/>
        </w:rPr>
        <w:t xml:space="preserve"> og valtaðar</w:t>
      </w:r>
      <w:r>
        <w:rPr>
          <w:lang w:val="is-IS"/>
        </w:rPr>
        <w:t xml:space="preserve">. </w:t>
      </w:r>
    </w:p>
    <w:p w14:paraId="33D07BDE" w14:textId="4E5FE5AD" w:rsidR="00DD488B" w:rsidRDefault="00DD488B" w:rsidP="00DD488B">
      <w:pPr>
        <w:ind w:firstLine="342"/>
        <w:jc w:val="both"/>
        <w:rPr>
          <w:lang w:val="is-IS"/>
        </w:rPr>
      </w:pPr>
      <w:r>
        <w:rPr>
          <w:lang w:val="is-IS"/>
        </w:rPr>
        <w:lastRenderedPageBreak/>
        <w:t>Klæðingum úr þ</w:t>
      </w:r>
      <w:r w:rsidR="00C530F4">
        <w:rPr>
          <w:lang w:val="is-IS"/>
        </w:rPr>
        <w:t>jál</w:t>
      </w:r>
      <w:r>
        <w:rPr>
          <w:lang w:val="is-IS"/>
        </w:rPr>
        <w:t xml:space="preserve">biki </w:t>
      </w:r>
      <w:r w:rsidR="00C530F4">
        <w:rPr>
          <w:lang w:val="is-IS"/>
        </w:rPr>
        <w:t xml:space="preserve">og þunnbiki </w:t>
      </w:r>
      <w:r>
        <w:rPr>
          <w:lang w:val="is-IS"/>
        </w:rPr>
        <w:t xml:space="preserve">hættir við að blæða í heitu veðri og </w:t>
      </w:r>
      <w:r w:rsidR="00C530F4">
        <w:rPr>
          <w:lang w:val="is-IS"/>
        </w:rPr>
        <w:t>einnig ef</w:t>
      </w:r>
      <w:r>
        <w:rPr>
          <w:lang w:val="is-IS"/>
        </w:rPr>
        <w:t xml:space="preserve"> rignir í þær nýlagðar og umferð er mikil. Af þessari ástæðu eru þær nær eingöngu notaðar utan þéttbýlis, þótt dæmi séu um viðunandi reynslu af þeim á húsagötum.</w:t>
      </w:r>
    </w:p>
    <w:p w14:paraId="33D07BDF" w14:textId="77777777" w:rsidR="00DD488B" w:rsidRDefault="00DD488B" w:rsidP="00DD488B">
      <w:pPr>
        <w:jc w:val="both"/>
        <w:rPr>
          <w:b/>
          <w:lang w:val="is-IS"/>
        </w:rPr>
      </w:pPr>
    </w:p>
    <w:p w14:paraId="33D07BE0" w14:textId="7A86D836" w:rsidR="00DD488B" w:rsidRDefault="00DD488B" w:rsidP="00DD488B">
      <w:pPr>
        <w:jc w:val="both"/>
        <w:rPr>
          <w:lang w:val="is-IS"/>
        </w:rPr>
      </w:pPr>
      <w:r w:rsidRPr="0090407C">
        <w:rPr>
          <w:b/>
          <w:lang w:val="is-IS"/>
        </w:rPr>
        <w:t>Bikþeyta.</w:t>
      </w:r>
      <w:r>
        <w:rPr>
          <w:lang w:val="is-IS"/>
        </w:rPr>
        <w:t xml:space="preserve"> Bikþeyta er blanda af vatni og örsmáum bikdropum sem eru alsettir rafhleðslum. Rafhleðslurnar meina bikdropunum að sameinast, því þær hrinda hver annarri frá sér. Þegar bikþeyta blandast steinefni afhlaðast bikdroparnir að meira eða minna leyti fyrir áhrif rafhleðslna á yfirborði steinefnisins. Við það dragast bikdroparnir hver að öðrum en vatnið í bikþeytunni skilst f</w:t>
      </w:r>
      <w:r w:rsidR="00F86F17">
        <w:rPr>
          <w:lang w:val="is-IS"/>
        </w:rPr>
        <w:t>rá, bikþeytan brotnar</w:t>
      </w:r>
      <w:r>
        <w:rPr>
          <w:lang w:val="is-IS"/>
        </w:rPr>
        <w:t xml:space="preserve"> og þekur steinefnið með bindiefnishimnu. Hversu hratt þetta gerist má stýra með samsetningu bikþeytunnar, en </w:t>
      </w:r>
      <w:r w:rsidR="00C530F4">
        <w:rPr>
          <w:lang w:val="is-IS"/>
        </w:rPr>
        <w:t xml:space="preserve">brotin </w:t>
      </w:r>
      <w:r>
        <w:rPr>
          <w:lang w:val="is-IS"/>
        </w:rPr>
        <w:t>bikþeyta nær mjög fljótt endanlegri stífni.</w:t>
      </w:r>
    </w:p>
    <w:p w14:paraId="33D07BE1" w14:textId="3E7DC080" w:rsidR="00DD488B" w:rsidRDefault="00DD488B" w:rsidP="00DD488B">
      <w:pPr>
        <w:ind w:firstLine="342"/>
        <w:jc w:val="both"/>
        <w:rPr>
          <w:lang w:val="is-IS"/>
        </w:rPr>
      </w:pPr>
      <w:r>
        <w:rPr>
          <w:lang w:val="is-IS"/>
        </w:rPr>
        <w:t xml:space="preserve">Vegna vatnsins þolir bikþeyta </w:t>
      </w:r>
      <w:r w:rsidR="00C4702C">
        <w:rPr>
          <w:lang w:val="is-IS"/>
        </w:rPr>
        <w:t>hvork</w:t>
      </w:r>
      <w:r>
        <w:rPr>
          <w:lang w:val="is-IS"/>
        </w:rPr>
        <w:t xml:space="preserve">i frost </w:t>
      </w:r>
      <w:r w:rsidR="00C4702C">
        <w:rPr>
          <w:lang w:val="is-IS"/>
        </w:rPr>
        <w:t>né</w:t>
      </w:r>
      <w:r>
        <w:rPr>
          <w:lang w:val="is-IS"/>
        </w:rPr>
        <w:t xml:space="preserve"> hærra hitastig en 90°C fyrr en hún hefur </w:t>
      </w:r>
      <w:r w:rsidR="00C530F4">
        <w:rPr>
          <w:lang w:val="is-IS"/>
        </w:rPr>
        <w:t>brotnað</w:t>
      </w:r>
      <w:r>
        <w:rPr>
          <w:lang w:val="is-IS"/>
        </w:rPr>
        <w:t xml:space="preserve">. Þar eð bikþeyta er vatnsleysanleg getur hún skolast af steinefninu í mikilli </w:t>
      </w:r>
      <w:r w:rsidR="00F86F17">
        <w:rPr>
          <w:lang w:val="is-IS"/>
        </w:rPr>
        <w:t>úrkomu ef hún nær ekki að brotna</w:t>
      </w:r>
      <w:r>
        <w:rPr>
          <w:lang w:val="is-IS"/>
        </w:rPr>
        <w:t xml:space="preserve"> áður. Þunn bikþeyta sem </w:t>
      </w:r>
      <w:r w:rsidR="00C530F4">
        <w:rPr>
          <w:lang w:val="is-IS"/>
        </w:rPr>
        <w:t xml:space="preserve">brotnar </w:t>
      </w:r>
      <w:r>
        <w:rPr>
          <w:lang w:val="is-IS"/>
        </w:rPr>
        <w:t xml:space="preserve">treglega getur líka runnið af steinefninu að einhverju leyti áður en hún </w:t>
      </w:r>
      <w:r w:rsidR="00C530F4">
        <w:rPr>
          <w:lang w:val="is-IS"/>
        </w:rPr>
        <w:t xml:space="preserve">brotnar </w:t>
      </w:r>
      <w:r>
        <w:rPr>
          <w:lang w:val="is-IS"/>
        </w:rPr>
        <w:t xml:space="preserve">og kemur þá ekki að fullu gagni. </w:t>
      </w:r>
    </w:p>
    <w:p w14:paraId="33D07BE2" w14:textId="77777777" w:rsidR="00DD488B" w:rsidRDefault="00DD488B" w:rsidP="00DD488B">
      <w:pPr>
        <w:ind w:firstLine="342"/>
        <w:jc w:val="both"/>
        <w:rPr>
          <w:lang w:val="is-IS"/>
        </w:rPr>
      </w:pPr>
      <w:r>
        <w:rPr>
          <w:lang w:val="is-IS"/>
        </w:rPr>
        <w:t>Hérlendis eru notaðar fjórar gerðir af bikþeytu, allar jákvætt hlaðnar (</w:t>
      </w:r>
      <w:r w:rsidR="00C530F4">
        <w:rPr>
          <w:lang w:val="is-IS"/>
        </w:rPr>
        <w:t xml:space="preserve">e. </w:t>
      </w:r>
      <w:r>
        <w:rPr>
          <w:lang w:val="is-IS"/>
        </w:rPr>
        <w:t>cationic). Ein er notuð í kaldblandað malbik, önnur til límingar þegar nýtt slitlag er lagt ofan á gamalt, sú þriðja í Ralumac sem er þunn klæðing úr smágerðu steinefni og sú fjórða í klæðingar úr hefðbundnu steinefni. Ralumac hefur lítið slitþol gagnvart negldum hjólbörðum, vegna þ</w:t>
      </w:r>
      <w:r w:rsidR="00F86F17">
        <w:rPr>
          <w:lang w:val="is-IS"/>
        </w:rPr>
        <w:t>ess hve smágert steinefnið er. Fyrr á árum höfðu k</w:t>
      </w:r>
      <w:r>
        <w:rPr>
          <w:lang w:val="is-IS"/>
        </w:rPr>
        <w:t xml:space="preserve">læðingar með bikþeytum heppnast misjafnlega hérlendis, hugsanlega vegna þess að íslensk steinefni </w:t>
      </w:r>
      <w:r w:rsidR="00F86F17">
        <w:rPr>
          <w:lang w:val="is-IS"/>
        </w:rPr>
        <w:t>voru oft rykug, en það</w:t>
      </w:r>
      <w:r>
        <w:rPr>
          <w:lang w:val="is-IS"/>
        </w:rPr>
        <w:t xml:space="preserve"> getur komið í veg fyrir að bikþeytan nái að væta yfirborð steinefnisins undir rykinu. </w:t>
      </w:r>
    </w:p>
    <w:p w14:paraId="33D07BE3" w14:textId="77777777" w:rsidR="00180CA5" w:rsidRDefault="00180CA5" w:rsidP="00DD488B">
      <w:pPr>
        <w:ind w:firstLine="342"/>
        <w:jc w:val="both"/>
        <w:rPr>
          <w:lang w:val="is-IS"/>
        </w:rPr>
      </w:pPr>
    </w:p>
    <w:p w14:paraId="33D07BE4" w14:textId="77777777" w:rsidR="00180CA5" w:rsidRPr="00920250" w:rsidRDefault="00180CA5" w:rsidP="00180CA5">
      <w:pPr>
        <w:ind w:firstLine="340"/>
        <w:jc w:val="both"/>
        <w:rPr>
          <w:b/>
          <w:color w:val="FF0000"/>
          <w:lang w:val="is-IS"/>
        </w:rPr>
      </w:pPr>
      <w:r w:rsidRPr="00920250">
        <w:rPr>
          <w:b/>
          <w:color w:val="FF0000"/>
          <w:lang w:val="is-IS"/>
        </w:rPr>
        <w:t>ATHUGASEMD RITSTJÓRNAR Í JANÚAR 2020</w:t>
      </w:r>
    </w:p>
    <w:p w14:paraId="33D07BE6" w14:textId="7A68D921" w:rsidR="00DD488B" w:rsidRPr="00D14E7C" w:rsidRDefault="00180CA5" w:rsidP="00D14E7C">
      <w:pPr>
        <w:spacing w:after="60"/>
        <w:jc w:val="both"/>
        <w:rPr>
          <w:color w:val="FF0000"/>
          <w:lang w:val="is-IS"/>
        </w:rPr>
      </w:pPr>
      <w:r w:rsidRPr="00920250">
        <w:rPr>
          <w:color w:val="FF0000"/>
        </w:rPr>
        <w:t>Þessi kafli fær að halda sér að mestu leyti, nema bent er á að nú til dags er þjálbik mest notað og þunnbik í undantekningartilvikum.</w:t>
      </w:r>
    </w:p>
    <w:p w14:paraId="33D07BE7" w14:textId="77777777" w:rsidR="00DD488B" w:rsidRPr="006868A9" w:rsidRDefault="00DD488B" w:rsidP="006868A9">
      <w:pPr>
        <w:pStyle w:val="Heading2"/>
      </w:pPr>
      <w:bookmarkStart w:id="8" w:name="_Toc52974013"/>
      <w:r w:rsidRPr="006868A9">
        <w:t>Prófanir á bindiefnum</w:t>
      </w:r>
      <w:bookmarkEnd w:id="8"/>
    </w:p>
    <w:p w14:paraId="33D07BE8" w14:textId="7CB943B2" w:rsidR="00DD488B" w:rsidRDefault="00946DD5" w:rsidP="00DD488B">
      <w:pPr>
        <w:jc w:val="both"/>
        <w:rPr>
          <w:szCs w:val="22"/>
          <w:lang w:val="is-IS"/>
        </w:rPr>
      </w:pPr>
      <w:r>
        <w:rPr>
          <w:szCs w:val="22"/>
          <w:lang w:val="is-IS"/>
        </w:rPr>
        <w:t>Bik</w:t>
      </w:r>
      <w:r w:rsidR="00DD488B">
        <w:rPr>
          <w:szCs w:val="22"/>
          <w:lang w:val="is-IS"/>
        </w:rPr>
        <w:t>, sem er uppistaðan í bikbindiefnum,</w:t>
      </w:r>
      <w:r w:rsidR="00DD488B" w:rsidRPr="00882CD3">
        <w:rPr>
          <w:szCs w:val="22"/>
          <w:lang w:val="is-IS"/>
        </w:rPr>
        <w:t xml:space="preserve"> er mjög flókið efni</w:t>
      </w:r>
      <w:r w:rsidR="00DD488B">
        <w:rPr>
          <w:szCs w:val="22"/>
          <w:lang w:val="is-IS"/>
        </w:rPr>
        <w:t xml:space="preserve"> sem auk þess hefur mismunandi eiginleika eftir því hvaðan jarðolían</w:t>
      </w:r>
      <w:r w:rsidR="00D16DFE">
        <w:rPr>
          <w:szCs w:val="22"/>
          <w:lang w:val="is-IS"/>
        </w:rPr>
        <w:t xml:space="preserve"> sem bikið er unnið úr</w:t>
      </w:r>
      <w:r w:rsidR="00DD488B">
        <w:rPr>
          <w:szCs w:val="22"/>
          <w:lang w:val="is-IS"/>
        </w:rPr>
        <w:t xml:space="preserve"> er</w:t>
      </w:r>
      <w:r w:rsidR="00D16DFE">
        <w:rPr>
          <w:szCs w:val="22"/>
          <w:lang w:val="is-IS"/>
        </w:rPr>
        <w:t xml:space="preserve"> upprunnin</w:t>
      </w:r>
      <w:r w:rsidR="00DD488B">
        <w:rPr>
          <w:szCs w:val="22"/>
          <w:lang w:val="is-IS"/>
        </w:rPr>
        <w:t>. Þar við bætist að með blöndun með öðrum efnum, bæði skyldum efnum úr jarðolíu og öðrum óskyldum (</w:t>
      </w:r>
      <w:r w:rsidR="00D16DFE">
        <w:rPr>
          <w:szCs w:val="22"/>
          <w:lang w:val="is-IS"/>
        </w:rPr>
        <w:t>líf</w:t>
      </w:r>
      <w:r w:rsidR="00DD488B">
        <w:rPr>
          <w:szCs w:val="22"/>
          <w:lang w:val="is-IS"/>
        </w:rPr>
        <w:t>olíu, íaukum) má framleiða nánast óteljandi gerðir bindiefna með afar fjölbreytilegum eiginleikum. Af þessari ástæðu er nauðsynlegt að flokka bikbindiefni eftir eiginleikum þeirra svo að notendur geti valið úr þeim í samræmi við fyrirhugaða notkun. Í þessu skyni eru bindiefni prófuð á ýmsa vegu með stöðluðum aðferðum og flokkuð í samræmi við niðurstöðurnar.</w:t>
      </w:r>
    </w:p>
    <w:p w14:paraId="33D07BEA" w14:textId="3FECB274" w:rsidR="00DD488B" w:rsidRDefault="00DD488B" w:rsidP="00DD488B">
      <w:pPr>
        <w:ind w:firstLine="342"/>
        <w:jc w:val="both"/>
        <w:rPr>
          <w:szCs w:val="22"/>
          <w:lang w:val="is-IS"/>
        </w:rPr>
      </w:pPr>
      <w:r>
        <w:rPr>
          <w:szCs w:val="22"/>
          <w:lang w:val="is-IS"/>
        </w:rPr>
        <w:t xml:space="preserve">Hér er </w:t>
      </w:r>
      <w:r w:rsidR="00946DD5">
        <w:rPr>
          <w:szCs w:val="22"/>
          <w:lang w:val="is-IS"/>
        </w:rPr>
        <w:t>bik</w:t>
      </w:r>
      <w:r>
        <w:rPr>
          <w:szCs w:val="22"/>
          <w:lang w:val="is-IS"/>
        </w:rPr>
        <w:t xml:space="preserve"> keypt erlendis frá í skipsförmum og þeim fylgir vottorð um gerð og eiginleika farmsins. Þ</w:t>
      </w:r>
      <w:r w:rsidR="00D16DFE">
        <w:rPr>
          <w:szCs w:val="22"/>
          <w:lang w:val="is-IS"/>
        </w:rPr>
        <w:t>jálbik, þ</w:t>
      </w:r>
      <w:r>
        <w:rPr>
          <w:szCs w:val="22"/>
          <w:lang w:val="is-IS"/>
        </w:rPr>
        <w:t>unnbik og bikþeytur eru á hinn bóginn nær eingöngu blandað</w:t>
      </w:r>
      <w:r w:rsidR="00BA1293">
        <w:rPr>
          <w:szCs w:val="22"/>
          <w:lang w:val="is-IS"/>
        </w:rPr>
        <w:t>ar</w:t>
      </w:r>
      <w:r>
        <w:rPr>
          <w:szCs w:val="22"/>
          <w:lang w:val="is-IS"/>
        </w:rPr>
        <w:t xml:space="preserve"> innanlands. Prófanir á bindiefnum eru </w:t>
      </w:r>
      <w:r w:rsidR="00D16DFE">
        <w:rPr>
          <w:szCs w:val="22"/>
          <w:lang w:val="is-IS"/>
        </w:rPr>
        <w:t>nauðsynlegar</w:t>
      </w:r>
      <w:r>
        <w:rPr>
          <w:szCs w:val="22"/>
          <w:lang w:val="is-IS"/>
        </w:rPr>
        <w:t xml:space="preserve">, svo að vissa sé fyrir því að framleiðslan henti til fyrirhugaðrar notkunar.     </w:t>
      </w:r>
    </w:p>
    <w:p w14:paraId="33D07BEB" w14:textId="7686E59A" w:rsidR="00DD488B" w:rsidRDefault="00DD488B" w:rsidP="00DD488B">
      <w:pPr>
        <w:ind w:firstLine="342"/>
        <w:jc w:val="both"/>
        <w:rPr>
          <w:szCs w:val="22"/>
          <w:lang w:val="is-IS"/>
        </w:rPr>
      </w:pPr>
      <w:r>
        <w:rPr>
          <w:szCs w:val="22"/>
          <w:lang w:val="is-IS"/>
        </w:rPr>
        <w:t xml:space="preserve">Hér á eftir er tæpt á nokkrum prófunaraðferðum sem eru mikilvægar fyrir bindiefni. Ennfremur er drepið á upplýsingar sem þær gefa um eiginleika bindiefnanna. Upptalningin er langt í frá tæmandi. </w:t>
      </w:r>
    </w:p>
    <w:p w14:paraId="33D07BEC" w14:textId="77777777" w:rsidR="00DD488B" w:rsidRPr="00DD2CF8" w:rsidRDefault="00DD488B" w:rsidP="00DD488B">
      <w:pPr>
        <w:rPr>
          <w:sz w:val="20"/>
          <w:lang w:val="is-IS"/>
        </w:rPr>
      </w:pPr>
    </w:p>
    <w:p w14:paraId="33D07BED" w14:textId="25747272" w:rsidR="00DD488B" w:rsidRPr="001C3FF1" w:rsidRDefault="00DD488B" w:rsidP="00DD488B">
      <w:pPr>
        <w:jc w:val="both"/>
        <w:rPr>
          <w:lang w:val="is-IS"/>
        </w:rPr>
      </w:pPr>
      <w:r>
        <w:rPr>
          <w:b/>
          <w:lang w:val="is-IS"/>
        </w:rPr>
        <w:t xml:space="preserve">Prófanir á </w:t>
      </w:r>
      <w:r w:rsidR="00946DD5">
        <w:rPr>
          <w:b/>
          <w:lang w:val="is-IS"/>
        </w:rPr>
        <w:t>bik</w:t>
      </w:r>
      <w:r>
        <w:rPr>
          <w:b/>
          <w:lang w:val="is-IS"/>
        </w:rPr>
        <w:t xml:space="preserve">i. </w:t>
      </w:r>
      <w:r w:rsidRPr="001C3FF1">
        <w:rPr>
          <w:lang w:val="is-IS"/>
        </w:rPr>
        <w:t xml:space="preserve">Þessi kafli </w:t>
      </w:r>
      <w:r>
        <w:rPr>
          <w:lang w:val="is-IS"/>
        </w:rPr>
        <w:t xml:space="preserve">um prófanir á </w:t>
      </w:r>
      <w:r w:rsidR="00946DD5">
        <w:rPr>
          <w:lang w:val="is-IS"/>
        </w:rPr>
        <w:t>bik</w:t>
      </w:r>
      <w:r>
        <w:rPr>
          <w:lang w:val="is-IS"/>
        </w:rPr>
        <w:t xml:space="preserve">i </w:t>
      </w:r>
      <w:r w:rsidRPr="001C3FF1">
        <w:rPr>
          <w:lang w:val="is-IS"/>
        </w:rPr>
        <w:t xml:space="preserve">er að hluta til byggður á </w:t>
      </w:r>
      <w:r w:rsidR="00D16DFE">
        <w:rPr>
          <w:lang w:val="is-IS"/>
        </w:rPr>
        <w:t xml:space="preserve">ÍST </w:t>
      </w:r>
      <w:r>
        <w:rPr>
          <w:lang w:val="is-IS"/>
        </w:rPr>
        <w:t>EN 12591</w:t>
      </w:r>
      <w:r w:rsidR="00D16DFE">
        <w:rPr>
          <w:lang w:val="is-IS"/>
        </w:rPr>
        <w:t xml:space="preserve">: </w:t>
      </w:r>
      <w:r w:rsidR="00D16DFE" w:rsidRPr="00D16DFE">
        <w:rPr>
          <w:lang w:val="is-IS"/>
        </w:rPr>
        <w:t>Jarðbik og jarðbiksbindiefni – Eiginleikar jarðbiks til nota í slitlög</w:t>
      </w:r>
      <w:r w:rsidR="00D16DFE">
        <w:rPr>
          <w:lang w:val="is-IS"/>
        </w:rPr>
        <w:t xml:space="preserve"> (e. </w:t>
      </w:r>
      <w:r w:rsidR="00D16DFE" w:rsidRPr="00D16DFE">
        <w:rPr>
          <w:lang w:val="is-IS"/>
        </w:rPr>
        <w:t>Bitumen and bituminous binders - Specifications for paving grade bitumens</w:t>
      </w:r>
      <w:r w:rsidR="00D16DFE">
        <w:rPr>
          <w:lang w:val="is-IS"/>
        </w:rPr>
        <w:t>).</w:t>
      </w:r>
    </w:p>
    <w:p w14:paraId="33D07BEE" w14:textId="4237D454" w:rsidR="00DD488B" w:rsidRDefault="00DD488B" w:rsidP="00DD488B">
      <w:pPr>
        <w:ind w:firstLine="342"/>
        <w:jc w:val="both"/>
        <w:rPr>
          <w:lang w:val="is-IS"/>
        </w:rPr>
      </w:pPr>
      <w:r w:rsidRPr="00CC01AA">
        <w:rPr>
          <w:i/>
          <w:lang w:val="is-IS"/>
        </w:rPr>
        <w:t>Stungudýpt</w:t>
      </w:r>
      <w:r>
        <w:rPr>
          <w:lang w:val="is-IS"/>
        </w:rPr>
        <w:t xml:space="preserve"> mælir hversu djúpt nál af tiltekinni gerð sekkur í sýni af bindiefni undir tilteknum kringumstæðum og er mælikvarði á stífni þess. Mælieiningin er 1/10 mm. </w:t>
      </w:r>
      <w:r w:rsidR="00D16DFE">
        <w:rPr>
          <w:lang w:val="is-IS"/>
        </w:rPr>
        <w:t xml:space="preserve">og </w:t>
      </w:r>
      <w:r>
        <w:rPr>
          <w:lang w:val="is-IS"/>
        </w:rPr>
        <w:t>minnkar með vaxandi stífni bindiefnisins, en hún er meðal annars tengd líkum á skriði í malbiki. Prófunarstaðall: ÍST EN 1426</w:t>
      </w:r>
      <w:r w:rsidR="00D16DFE">
        <w:rPr>
          <w:lang w:val="is-IS"/>
        </w:rPr>
        <w:t xml:space="preserve"> </w:t>
      </w:r>
      <w:r w:rsidR="00336906">
        <w:rPr>
          <w:lang w:val="is-IS"/>
        </w:rPr>
        <w:t xml:space="preserve">(e. </w:t>
      </w:r>
      <w:r w:rsidR="00D16DFE" w:rsidRPr="00D16DFE">
        <w:rPr>
          <w:lang w:val="is-IS"/>
        </w:rPr>
        <w:t>Bitumen and bituminous binders - Determination of needle penetration</w:t>
      </w:r>
      <w:r w:rsidR="00336906">
        <w:rPr>
          <w:lang w:val="is-IS"/>
        </w:rPr>
        <w:t>)</w:t>
      </w:r>
      <w:r>
        <w:rPr>
          <w:lang w:val="is-IS"/>
        </w:rPr>
        <w:t>.</w:t>
      </w:r>
    </w:p>
    <w:p w14:paraId="33D07BEF" w14:textId="480A93F5" w:rsidR="00DD488B" w:rsidRDefault="00DD488B" w:rsidP="00DD488B">
      <w:pPr>
        <w:ind w:firstLine="342"/>
        <w:jc w:val="both"/>
        <w:rPr>
          <w:lang w:val="is-IS"/>
        </w:rPr>
      </w:pPr>
      <w:r w:rsidRPr="00882BE5">
        <w:rPr>
          <w:i/>
          <w:lang w:val="is-IS"/>
        </w:rPr>
        <w:t xml:space="preserve">Mýktarmark </w:t>
      </w:r>
      <w:r w:rsidRPr="00A245AF">
        <w:rPr>
          <w:lang w:val="is-IS"/>
        </w:rPr>
        <w:t>mælir svörun bindiefnis við hækkandi hitastigi</w:t>
      </w:r>
      <w:r>
        <w:rPr>
          <w:lang w:val="is-IS"/>
        </w:rPr>
        <w:t xml:space="preserve">. Með hækkandi hitastigi breytist </w:t>
      </w:r>
      <w:r w:rsidR="00946DD5">
        <w:rPr>
          <w:lang w:val="is-IS"/>
        </w:rPr>
        <w:t>bik</w:t>
      </w:r>
      <w:r>
        <w:rPr>
          <w:lang w:val="is-IS"/>
        </w:rPr>
        <w:t xml:space="preserve"> úr þykkfljótandi efni í þunnfljótandi en hefur ekki skilgreint bræðslumark og mýktarmark er eins konar staðgengill fyrir bræðslumarkið. Prófið felst í að koma stálkúlu fyrir á sneið af bindiefni sem er fest á jöðrunum í upphengdan ramma og hvorutveggja er komið fyrir í vökva </w:t>
      </w:r>
      <w:r>
        <w:rPr>
          <w:lang w:val="is-IS"/>
        </w:rPr>
        <w:lastRenderedPageBreak/>
        <w:t>sem er hitaður upp. Með hækkandi hitastigi myndar kúlan dæld í sneiðina og teygir smám saman á henni svo að hún verður að poka. Þegar hann hefur náð tiltekinni dýpt er hitastig vökvans mælt (í°C) og er nefnt mýktarmark. Það kemur m.a. að notum til að meta hættu á skriði í malbiki í hitum. Prófunarstaðall: ÍST EN 1427</w:t>
      </w:r>
      <w:r w:rsidR="00336906">
        <w:rPr>
          <w:lang w:val="is-IS"/>
        </w:rPr>
        <w:t xml:space="preserve"> (e. </w:t>
      </w:r>
      <w:r w:rsidR="00336906" w:rsidRPr="00336906">
        <w:rPr>
          <w:lang w:val="is-IS"/>
        </w:rPr>
        <w:t>Bitumen and bituminous binders - Determination of softening point - Ring and Ball method</w:t>
      </w:r>
      <w:r w:rsidR="00336906">
        <w:rPr>
          <w:lang w:val="is-IS"/>
        </w:rPr>
        <w:t>)</w:t>
      </w:r>
      <w:r>
        <w:rPr>
          <w:lang w:val="is-IS"/>
        </w:rPr>
        <w:t>.</w:t>
      </w:r>
    </w:p>
    <w:p w14:paraId="33D07BF0" w14:textId="557E4DAE" w:rsidR="00DD488B" w:rsidRDefault="00DD488B" w:rsidP="00DD488B">
      <w:pPr>
        <w:ind w:firstLine="342"/>
        <w:jc w:val="both"/>
        <w:rPr>
          <w:lang w:val="is-IS"/>
        </w:rPr>
      </w:pPr>
      <w:r w:rsidRPr="00882BE5">
        <w:rPr>
          <w:i/>
          <w:lang w:val="is-IS"/>
        </w:rPr>
        <w:t>Seigja.</w:t>
      </w:r>
      <w:r>
        <w:rPr>
          <w:lang w:val="is-IS"/>
        </w:rPr>
        <w:t xml:space="preserve"> Hún er mælikvarði á rennslistregðu bindiefnisins og er mæld við tvö hita</w:t>
      </w:r>
      <w:r w:rsidR="001F0FB6">
        <w:rPr>
          <w:lang w:val="is-IS"/>
        </w:rPr>
        <w:t>stig, 60°C</w:t>
      </w:r>
      <w:r w:rsidR="00336906">
        <w:rPr>
          <w:lang w:val="is-IS"/>
        </w:rPr>
        <w:t>,</w:t>
      </w:r>
      <w:r w:rsidR="001F0FB6">
        <w:rPr>
          <w:lang w:val="is-IS"/>
        </w:rPr>
        <w:t xml:space="preserve"> prófunarstaðall</w:t>
      </w:r>
      <w:r>
        <w:rPr>
          <w:lang w:val="is-IS"/>
        </w:rPr>
        <w:t xml:space="preserve"> ÍST EN 12596</w:t>
      </w:r>
      <w:r w:rsidR="00336906">
        <w:rPr>
          <w:lang w:val="is-IS"/>
        </w:rPr>
        <w:t xml:space="preserve"> (e. </w:t>
      </w:r>
      <w:r w:rsidR="00336906" w:rsidRPr="00336906">
        <w:rPr>
          <w:lang w:val="is-IS"/>
        </w:rPr>
        <w:t>Bitumen and bituminous binders - Determination of dynamic viscosity by vacuum capillary</w:t>
      </w:r>
      <w:r w:rsidR="00336906">
        <w:rPr>
          <w:lang w:val="is-IS"/>
        </w:rPr>
        <w:t>)</w:t>
      </w:r>
      <w:r>
        <w:rPr>
          <w:lang w:val="is-IS"/>
        </w:rPr>
        <w:t xml:space="preserve"> og við 135°C</w:t>
      </w:r>
      <w:r w:rsidR="00336906">
        <w:rPr>
          <w:lang w:val="is-IS"/>
        </w:rPr>
        <w:t>,</w:t>
      </w:r>
      <w:r>
        <w:rPr>
          <w:lang w:val="is-IS"/>
        </w:rPr>
        <w:t>prófunarstaðall ÍST EN 12595</w:t>
      </w:r>
      <w:r w:rsidR="00336906">
        <w:rPr>
          <w:lang w:val="is-IS"/>
        </w:rPr>
        <w:t xml:space="preserve"> (e. </w:t>
      </w:r>
      <w:r w:rsidR="00336906" w:rsidRPr="00336906">
        <w:rPr>
          <w:lang w:val="is-IS"/>
        </w:rPr>
        <w:t>Bitumen and bituminous binders - Determination of kinematic viscosity</w:t>
      </w:r>
      <w:r>
        <w:rPr>
          <w:lang w:val="is-IS"/>
        </w:rPr>
        <w:t>). Þessar tvær mælingar eru notaðar til að finna hvernig seigja bindiefnisins breytist með hitastigi, m.a. til að ákveða hversu mikið þurfi að hita bindiefnið til að dæla því, blanda saman við steinefni</w:t>
      </w:r>
      <w:r w:rsidRPr="007B217B">
        <w:rPr>
          <w:lang w:val="is-IS"/>
        </w:rPr>
        <w:t xml:space="preserve"> </w:t>
      </w:r>
      <w:r>
        <w:rPr>
          <w:lang w:val="is-IS"/>
        </w:rPr>
        <w:t xml:space="preserve">eða hversu heitt malbik þarf að vera til að hægt sé að þjappa (valta) það. </w:t>
      </w:r>
    </w:p>
    <w:p w14:paraId="33D07BF1" w14:textId="77777777" w:rsidR="00DD488B" w:rsidRPr="00170279" w:rsidRDefault="00DD488B" w:rsidP="00DD488B">
      <w:pPr>
        <w:ind w:firstLine="342"/>
        <w:jc w:val="both"/>
        <w:rPr>
          <w:lang w:val="is-IS"/>
        </w:rPr>
      </w:pPr>
      <w:r w:rsidRPr="00882BE5">
        <w:rPr>
          <w:i/>
          <w:lang w:val="is-IS"/>
        </w:rPr>
        <w:t>Brotmark.</w:t>
      </w:r>
      <w:r w:rsidRPr="00A245AF">
        <w:rPr>
          <w:b/>
          <w:lang w:val="is-IS"/>
        </w:rPr>
        <w:t xml:space="preserve"> </w:t>
      </w:r>
      <w:r>
        <w:rPr>
          <w:lang w:val="is-IS"/>
        </w:rPr>
        <w:t xml:space="preserve">Þessari prófun er </w:t>
      </w:r>
      <w:r w:rsidRPr="00F635BA">
        <w:rPr>
          <w:lang w:val="is-IS"/>
        </w:rPr>
        <w:t xml:space="preserve">ætlað að </w:t>
      </w:r>
      <w:r>
        <w:rPr>
          <w:lang w:val="is-IS"/>
        </w:rPr>
        <w:t>kanna hegðun bindiefnisins við mjög lágt hitastig</w:t>
      </w:r>
      <w:r w:rsidRPr="00F635BA">
        <w:rPr>
          <w:lang w:val="is-IS"/>
        </w:rPr>
        <w:t>.</w:t>
      </w:r>
      <w:r>
        <w:rPr>
          <w:lang w:val="is-IS"/>
        </w:rPr>
        <w:t xml:space="preserve"> Þunnu lagi af bindiefni er roðið á stálþynnu og hún beygð lítillega og rétt til skiptis og jafnframt er hitastigið umhverfis hana lækkað hægt og bítandi. Hitastigið, þegar bindiefnislagið er orðið svo stökkt að það rifnar, nefnist brotmark og er mælikvarði á lægsta notkunarhitastig bindiefnisins, til dæmis í malbiki sem á að þola hörð og langvarandi frost. Prófunarstaðall: ÍST EN 12593</w:t>
      </w:r>
      <w:r w:rsidR="00336906">
        <w:rPr>
          <w:lang w:val="is-IS"/>
        </w:rPr>
        <w:t xml:space="preserve"> (e. </w:t>
      </w:r>
      <w:r w:rsidR="00336906" w:rsidRPr="00336906">
        <w:rPr>
          <w:lang w:val="is-IS"/>
        </w:rPr>
        <w:t>Bitumen and bituminous binders - Determination of the Fraass breaking point</w:t>
      </w:r>
      <w:r w:rsidR="00336906">
        <w:rPr>
          <w:lang w:val="is-IS"/>
        </w:rPr>
        <w:t>)</w:t>
      </w:r>
      <w:r>
        <w:rPr>
          <w:lang w:val="is-IS"/>
        </w:rPr>
        <w:t>.</w:t>
      </w:r>
    </w:p>
    <w:p w14:paraId="33D07BF2" w14:textId="77777777" w:rsidR="00DD488B" w:rsidRDefault="00DD488B" w:rsidP="00DD488B">
      <w:pPr>
        <w:ind w:firstLine="342"/>
        <w:jc w:val="both"/>
        <w:rPr>
          <w:lang w:val="is-IS"/>
        </w:rPr>
      </w:pPr>
      <w:r w:rsidRPr="00C94D76">
        <w:rPr>
          <w:i/>
          <w:lang w:val="is-IS"/>
        </w:rPr>
        <w:t>Leysanleiki.</w:t>
      </w:r>
      <w:r>
        <w:rPr>
          <w:lang w:val="is-IS"/>
        </w:rPr>
        <w:t xml:space="preserve"> Þetta próf sýnir hversu mikið af bindiefninu leysist ekki upp í toluen</w:t>
      </w:r>
      <w:r w:rsidR="00C4702C">
        <w:rPr>
          <w:rStyle w:val="FootnoteReference"/>
          <w:lang w:val="is-IS"/>
        </w:rPr>
        <w:footnoteReference w:id="2"/>
      </w:r>
      <w:r>
        <w:rPr>
          <w:lang w:val="is-IS"/>
        </w:rPr>
        <w:t>; er með öðrum orðum fast efni sem ekki nýtist sem bindiefni. Prófunarstaðall: ÍST EN 12592</w:t>
      </w:r>
      <w:r w:rsidR="00336906">
        <w:rPr>
          <w:lang w:val="is-IS"/>
        </w:rPr>
        <w:t xml:space="preserve"> (e. </w:t>
      </w:r>
      <w:r w:rsidR="00336906" w:rsidRPr="00336906">
        <w:rPr>
          <w:lang w:val="is-IS"/>
        </w:rPr>
        <w:t>Bitumen and bituminous binders - Determination of solubility</w:t>
      </w:r>
      <w:r w:rsidR="00336906">
        <w:rPr>
          <w:lang w:val="is-IS"/>
        </w:rPr>
        <w:t>)</w:t>
      </w:r>
      <w:r>
        <w:rPr>
          <w:lang w:val="is-IS"/>
        </w:rPr>
        <w:t>.</w:t>
      </w:r>
    </w:p>
    <w:p w14:paraId="33D07BF3" w14:textId="77777777" w:rsidR="00DD488B" w:rsidRDefault="00DD488B" w:rsidP="00DD488B">
      <w:pPr>
        <w:ind w:firstLine="342"/>
        <w:jc w:val="both"/>
        <w:rPr>
          <w:lang w:val="is-IS"/>
        </w:rPr>
      </w:pPr>
      <w:r w:rsidRPr="00C94D76">
        <w:rPr>
          <w:i/>
          <w:lang w:val="is-IS"/>
        </w:rPr>
        <w:t>Blossamark.</w:t>
      </w:r>
      <w:r>
        <w:rPr>
          <w:lang w:val="is-IS"/>
        </w:rPr>
        <w:t xml:space="preserve"> Prófið mælir hitastig bindiefnisins þegar gufa frá því er nægileg til að opinn eldur kveikir í henni og er mælikvarði á það hversu mikið má hita bindiefnið án þess að hætta sé á íkveikju. Þetta hitastig hækkar eftir því sem stungudýptin lækkar. Prófunarstaðall: </w:t>
      </w:r>
      <w:r w:rsidRPr="005F7F6E">
        <w:rPr>
          <w:lang w:val="is-IS"/>
        </w:rPr>
        <w:t>ÍST EN</w:t>
      </w:r>
      <w:r>
        <w:rPr>
          <w:lang w:val="is-IS"/>
        </w:rPr>
        <w:t xml:space="preserve"> ISO 2592</w:t>
      </w:r>
      <w:r w:rsidR="00EF5FCF">
        <w:rPr>
          <w:lang w:val="is-IS"/>
        </w:rPr>
        <w:t xml:space="preserve"> (e. </w:t>
      </w:r>
      <w:r w:rsidR="00EF5FCF" w:rsidRPr="00EF5FCF">
        <w:rPr>
          <w:lang w:val="is-IS"/>
        </w:rPr>
        <w:t>Petroleum and related products - Determination of flash and fire points - Cleveland open cup method</w:t>
      </w:r>
      <w:r w:rsidR="00EF5FCF">
        <w:rPr>
          <w:lang w:val="is-IS"/>
        </w:rPr>
        <w:t>)</w:t>
      </w:r>
      <w:r>
        <w:rPr>
          <w:lang w:val="is-IS"/>
        </w:rPr>
        <w:t>.</w:t>
      </w:r>
    </w:p>
    <w:p w14:paraId="33D07BF4" w14:textId="77777777" w:rsidR="00DD488B" w:rsidRDefault="00DD488B" w:rsidP="00DD488B">
      <w:pPr>
        <w:ind w:firstLine="342"/>
        <w:jc w:val="both"/>
        <w:rPr>
          <w:lang w:val="is-IS"/>
        </w:rPr>
      </w:pPr>
      <w:r w:rsidRPr="00C94D76">
        <w:rPr>
          <w:i/>
          <w:lang w:val="is-IS"/>
        </w:rPr>
        <w:t>Þyngdartap við upphitun.</w:t>
      </w:r>
      <w:r>
        <w:rPr>
          <w:lang w:val="is-IS"/>
        </w:rPr>
        <w:t xml:space="preserve"> Þyngdartapið gefur til kynna hvort bikið sé blandað rokgjörnum efnum. Prófunin felst í að vikta sýni með tiltekinni þyngd fyrir og eftir upphitun við tilteknar aðstæður. Að upphitun lokinni má nota sýnið til frekari rannsókna. Niðurstöður prófana á sýni eftir upphitun (svo sem stungudýpt, mýktarmark og brotmark) eru að sumu leyti raunhæfari mælikvarði á eiginleika bindiefnisins eftir blöndun saman við steinefni í malbikunarstöð.</w:t>
      </w:r>
      <w:r w:rsidRPr="00955447">
        <w:rPr>
          <w:lang w:val="is-IS"/>
        </w:rPr>
        <w:t xml:space="preserve"> </w:t>
      </w:r>
      <w:r>
        <w:rPr>
          <w:lang w:val="is-IS"/>
        </w:rPr>
        <w:t>Prófunarstaðall: ÍST EN 12607-1</w:t>
      </w:r>
      <w:r w:rsidR="00EF5FCF">
        <w:rPr>
          <w:lang w:val="is-IS"/>
        </w:rPr>
        <w:t xml:space="preserve"> (e. </w:t>
      </w:r>
      <w:r w:rsidR="00EF5FCF" w:rsidRPr="00EF5FCF">
        <w:rPr>
          <w:lang w:val="is-IS"/>
        </w:rPr>
        <w:t>Bitumen and bituminous binders - Determination of the resistance to hardening under influence of heat and air - Part 1: RTFOT method</w:t>
      </w:r>
      <w:r w:rsidR="00EF5FCF">
        <w:rPr>
          <w:lang w:val="is-IS"/>
        </w:rPr>
        <w:t>)</w:t>
      </w:r>
      <w:r>
        <w:rPr>
          <w:lang w:val="is-IS"/>
        </w:rPr>
        <w:t>.</w:t>
      </w:r>
    </w:p>
    <w:p w14:paraId="33D07BF5" w14:textId="77777777" w:rsidR="00C4702C" w:rsidRDefault="00C4702C" w:rsidP="00DD488B">
      <w:pPr>
        <w:ind w:firstLine="342"/>
        <w:jc w:val="both"/>
        <w:rPr>
          <w:lang w:val="is-IS"/>
        </w:rPr>
      </w:pPr>
    </w:p>
    <w:p w14:paraId="33D07BF6" w14:textId="414D2FDE" w:rsidR="00DD488B" w:rsidRPr="00AA47A3" w:rsidRDefault="00DD488B" w:rsidP="00DD488B">
      <w:pPr>
        <w:jc w:val="both"/>
        <w:rPr>
          <w:b/>
          <w:i/>
          <w:szCs w:val="22"/>
          <w:lang w:val="is-IS"/>
        </w:rPr>
      </w:pPr>
      <w:r w:rsidRPr="00AA47A3">
        <w:rPr>
          <w:b/>
          <w:szCs w:val="22"/>
          <w:lang w:val="is-IS"/>
        </w:rPr>
        <w:t>Prófanir á þ</w:t>
      </w:r>
      <w:r w:rsidR="00F9394D">
        <w:rPr>
          <w:b/>
          <w:szCs w:val="22"/>
          <w:lang w:val="is-IS"/>
        </w:rPr>
        <w:t>jálbiki og þ</w:t>
      </w:r>
      <w:r w:rsidRPr="00AA47A3">
        <w:rPr>
          <w:b/>
          <w:szCs w:val="22"/>
          <w:lang w:val="is-IS"/>
        </w:rPr>
        <w:t>unnbiki.</w:t>
      </w:r>
      <w:r>
        <w:rPr>
          <w:szCs w:val="22"/>
          <w:lang w:val="is-IS"/>
        </w:rPr>
        <w:t xml:space="preserve"> </w:t>
      </w:r>
      <w:r w:rsidRPr="00AA47A3">
        <w:rPr>
          <w:szCs w:val="22"/>
          <w:lang w:val="is-IS"/>
        </w:rPr>
        <w:t xml:space="preserve">Þessi kafli er að hluta til byggður á </w:t>
      </w:r>
      <w:r w:rsidR="00EF5FCF">
        <w:rPr>
          <w:szCs w:val="22"/>
          <w:lang w:val="is-IS"/>
        </w:rPr>
        <w:t xml:space="preserve">ÍST </w:t>
      </w:r>
      <w:r w:rsidRPr="00AA47A3">
        <w:rPr>
          <w:szCs w:val="22"/>
          <w:lang w:val="is-IS"/>
        </w:rPr>
        <w:t>EN 15322</w:t>
      </w:r>
      <w:r w:rsidR="00EF5FCF">
        <w:rPr>
          <w:szCs w:val="22"/>
          <w:lang w:val="is-IS"/>
        </w:rPr>
        <w:t xml:space="preserve">: </w:t>
      </w:r>
      <w:r w:rsidR="00EF5FCF" w:rsidRPr="00EF5FCF">
        <w:rPr>
          <w:szCs w:val="22"/>
          <w:lang w:val="is-IS"/>
        </w:rPr>
        <w:t>Jarðbik og jarðbiksbindiefni – Flokkunarkerfi til nota við tilgreiningu á þunnbiki og þjálbiki</w:t>
      </w:r>
      <w:r w:rsidRPr="00AA47A3">
        <w:rPr>
          <w:szCs w:val="22"/>
          <w:lang w:val="is-IS"/>
        </w:rPr>
        <w:t xml:space="preserve"> </w:t>
      </w:r>
      <w:r w:rsidR="00EF5FCF">
        <w:rPr>
          <w:szCs w:val="22"/>
          <w:lang w:val="is-IS"/>
        </w:rPr>
        <w:t xml:space="preserve">(e. </w:t>
      </w:r>
      <w:r w:rsidR="00EF5FCF" w:rsidRPr="00EF5FCF">
        <w:rPr>
          <w:szCs w:val="22"/>
          <w:lang w:val="is-IS"/>
        </w:rPr>
        <w:t>Bitumen and bituminous binders - Framework for specifying cut-back and fluxed bituminous binders</w:t>
      </w:r>
      <w:r w:rsidR="00EF5FCF">
        <w:rPr>
          <w:szCs w:val="22"/>
          <w:lang w:val="is-IS"/>
        </w:rPr>
        <w:t xml:space="preserve">) </w:t>
      </w:r>
      <w:r w:rsidRPr="00AA47A3">
        <w:rPr>
          <w:szCs w:val="22"/>
          <w:lang w:val="is-IS"/>
        </w:rPr>
        <w:t>sem er um kröfur til þunnbiks.</w:t>
      </w:r>
      <w:r w:rsidRPr="00AA47A3">
        <w:rPr>
          <w:b/>
          <w:i/>
          <w:szCs w:val="22"/>
          <w:lang w:val="is-IS"/>
        </w:rPr>
        <w:t xml:space="preserve">  </w:t>
      </w:r>
    </w:p>
    <w:p w14:paraId="33D07BFB" w14:textId="2FFC1A83" w:rsidR="00DD488B" w:rsidRDefault="00DD488B" w:rsidP="00DD488B">
      <w:pPr>
        <w:ind w:firstLine="342"/>
        <w:jc w:val="both"/>
        <w:rPr>
          <w:lang w:val="is-IS"/>
        </w:rPr>
      </w:pPr>
      <w:r w:rsidRPr="00AA47A3">
        <w:rPr>
          <w:i/>
          <w:lang w:val="is-IS"/>
        </w:rPr>
        <w:t>Seigja.</w:t>
      </w:r>
      <w:r>
        <w:rPr>
          <w:lang w:val="is-IS"/>
        </w:rPr>
        <w:t xml:space="preserve"> Hún er mælikvarði á rennslistregðu </w:t>
      </w:r>
      <w:r w:rsidR="00F9394D">
        <w:rPr>
          <w:lang w:val="is-IS"/>
        </w:rPr>
        <w:t xml:space="preserve">þjálbiks eða </w:t>
      </w:r>
      <w:r>
        <w:rPr>
          <w:lang w:val="is-IS"/>
        </w:rPr>
        <w:t xml:space="preserve">þunnbiks og er mæld við mismunandi hitastig, 25-60°C, eftir því hvaða seigjuflokkur á í hlut. Mælingin felst í því að láta tiltekið magn renna í gegnum op með tiltekinni lögun og mæla tímann (í sekúndum) sem það tekur. Seigjan skiptir m.a. máli fyrir val á </w:t>
      </w:r>
      <w:r w:rsidR="00F9394D">
        <w:rPr>
          <w:lang w:val="is-IS"/>
        </w:rPr>
        <w:t xml:space="preserve">þjálbiki eða </w:t>
      </w:r>
      <w:r>
        <w:rPr>
          <w:lang w:val="is-IS"/>
        </w:rPr>
        <w:t xml:space="preserve">þunnbiki í klæðingar, ef hún er lítil er viss hætta á að bikið renni af steinunum sem það á að binda saman og komi þannig að takmörkuðu gagni. Seigjan má heldur ekki vera of mikil því þá er hætt við að steinefnið sökkvi ekki nægilega í bindiefnislagið áður en það kólnar um of. </w:t>
      </w:r>
      <w:r w:rsidRPr="00AA47A3">
        <w:rPr>
          <w:i/>
          <w:lang w:val="is-IS"/>
        </w:rPr>
        <w:t>Leysanleiki.</w:t>
      </w:r>
      <w:r>
        <w:rPr>
          <w:lang w:val="is-IS"/>
        </w:rPr>
        <w:t xml:space="preserve"> Þetta próf sýnir hversu mikið af þunnbikinu leysist ekki upp í toluen; er með öðrum orðum fast efni sem ekki nýtist sem bindiefni. </w:t>
      </w:r>
      <w:r>
        <w:rPr>
          <w:i/>
          <w:lang w:val="is-IS"/>
        </w:rPr>
        <w:t xml:space="preserve">Blossamark. </w:t>
      </w:r>
      <w:r>
        <w:rPr>
          <w:lang w:val="is-IS"/>
        </w:rPr>
        <w:t xml:space="preserve">Prófið mælir hitastig bindiefnisins þegar gufa frá því er orðin nægileg til að opinn eldur kveikir í henni og er mælikvarði á það hversu mikið má hita bindiefnið án þess að hætta sé á íkveikju. </w:t>
      </w:r>
      <w:r w:rsidRPr="008B070F">
        <w:rPr>
          <w:i/>
          <w:lang w:val="is-IS"/>
        </w:rPr>
        <w:t>Stigeiming.</w:t>
      </w:r>
      <w:r w:rsidRPr="00391C10">
        <w:rPr>
          <w:b/>
          <w:lang w:val="is-IS"/>
        </w:rPr>
        <w:t xml:space="preserve"> </w:t>
      </w:r>
      <w:r w:rsidRPr="00391C10">
        <w:rPr>
          <w:lang w:val="is-IS"/>
        </w:rPr>
        <w:t>Hún gefur upplýsingar um það hversu rokgjarn þynnirinn í bindiefninu er</w:t>
      </w:r>
      <w:r>
        <w:rPr>
          <w:lang w:val="is-IS"/>
        </w:rPr>
        <w:t>, þ.e. hversu hratt þunnbikið storknar</w:t>
      </w:r>
      <w:r w:rsidRPr="00391C10">
        <w:rPr>
          <w:lang w:val="is-IS"/>
        </w:rPr>
        <w:t>.</w:t>
      </w:r>
      <w:r>
        <w:rPr>
          <w:b/>
          <w:lang w:val="is-IS"/>
        </w:rPr>
        <w:t xml:space="preserve"> </w:t>
      </w:r>
      <w:r w:rsidRPr="00F34685">
        <w:rPr>
          <w:lang w:val="is-IS"/>
        </w:rPr>
        <w:t xml:space="preserve">Sýni af bindiefninu er hitað </w:t>
      </w:r>
      <w:r>
        <w:rPr>
          <w:lang w:val="is-IS"/>
        </w:rPr>
        <w:t>í þrepum (í 190°C, 225°C,</w:t>
      </w:r>
      <w:r w:rsidRPr="00F34685">
        <w:rPr>
          <w:lang w:val="is-IS"/>
        </w:rPr>
        <w:t xml:space="preserve"> </w:t>
      </w:r>
      <w:r>
        <w:rPr>
          <w:lang w:val="is-IS"/>
        </w:rPr>
        <w:t xml:space="preserve">260°C, 315°C og að lokum í 360°C) og mælt hversu mikið af þynni hefur gufað upp við hvert þrep. Eimingarleifin (það sem eftir verður þegar sýnið hefur verið hitað í 360°C) er í sumum </w:t>
      </w:r>
      <w:r>
        <w:rPr>
          <w:lang w:val="is-IS"/>
        </w:rPr>
        <w:lastRenderedPageBreak/>
        <w:t>tilfellum prófuð frekar til að afla upplýsinga um eiginleika bindiefnisins eftir að þynnirinn hefur gufað upp. Í sumum tilfellum er eimingarleifin undirbúin frekar fyrir prófun, t.d. með festun (</w:t>
      </w:r>
      <w:r w:rsidR="00F23FE1">
        <w:rPr>
          <w:lang w:val="is-IS"/>
        </w:rPr>
        <w:t xml:space="preserve">e. </w:t>
      </w:r>
      <w:r>
        <w:rPr>
          <w:lang w:val="is-IS"/>
        </w:rPr>
        <w:t>stabilization) eða öldrun (</w:t>
      </w:r>
      <w:r w:rsidR="00F23FE1">
        <w:rPr>
          <w:lang w:val="is-IS"/>
        </w:rPr>
        <w:t xml:space="preserve">e. </w:t>
      </w:r>
      <w:r>
        <w:rPr>
          <w:lang w:val="is-IS"/>
        </w:rPr>
        <w:t>ageing) eða hvorutveggja. Meðal prófana á eimingarleif má nefna stungudýpt, mýktarmark og seigju. Ef þunnbikið tilheyrir breyttum bindiefnum koma aðrar prófunaraðferðir til álita.</w:t>
      </w:r>
    </w:p>
    <w:p w14:paraId="33D07BFC" w14:textId="77777777" w:rsidR="00DD488B" w:rsidRDefault="00DD488B" w:rsidP="00DD488B">
      <w:pPr>
        <w:ind w:firstLine="342"/>
        <w:jc w:val="both"/>
        <w:rPr>
          <w:lang w:val="is-IS"/>
        </w:rPr>
      </w:pPr>
    </w:p>
    <w:p w14:paraId="33D07BFD" w14:textId="77777777" w:rsidR="00DD488B" w:rsidRDefault="00DD488B" w:rsidP="00DD488B">
      <w:pPr>
        <w:jc w:val="both"/>
        <w:rPr>
          <w:lang w:val="is-IS"/>
        </w:rPr>
      </w:pPr>
      <w:r w:rsidRPr="0061422F">
        <w:rPr>
          <w:b/>
          <w:lang w:val="is-IS"/>
        </w:rPr>
        <w:t xml:space="preserve">Prófanir á bikþeytum. </w:t>
      </w:r>
      <w:r>
        <w:rPr>
          <w:szCs w:val="22"/>
          <w:lang w:val="is-IS"/>
        </w:rPr>
        <w:t xml:space="preserve">Þessi kafli er að mestu byggður á ÍST </w:t>
      </w:r>
      <w:r w:rsidRPr="00AA47A3">
        <w:rPr>
          <w:szCs w:val="22"/>
          <w:lang w:val="is-IS"/>
        </w:rPr>
        <w:t xml:space="preserve">EN </w:t>
      </w:r>
      <w:r>
        <w:rPr>
          <w:szCs w:val="22"/>
          <w:lang w:val="is-IS"/>
        </w:rPr>
        <w:t>13808</w:t>
      </w:r>
      <w:r w:rsidR="00F23FE1">
        <w:rPr>
          <w:szCs w:val="22"/>
          <w:lang w:val="is-IS"/>
        </w:rPr>
        <w:t xml:space="preserve">: </w:t>
      </w:r>
      <w:r w:rsidR="00F23FE1" w:rsidRPr="00F23FE1">
        <w:rPr>
          <w:szCs w:val="22"/>
          <w:lang w:val="is-IS"/>
        </w:rPr>
        <w:t>Jarðbik og jarðbiksbindiefni - Grunnur til nota við skilgreiningar á jákvætt hlöðnum jarðbiksblöndum</w:t>
      </w:r>
      <w:r>
        <w:rPr>
          <w:szCs w:val="22"/>
          <w:lang w:val="is-IS"/>
        </w:rPr>
        <w:t xml:space="preserve"> </w:t>
      </w:r>
      <w:r w:rsidR="00F23FE1">
        <w:rPr>
          <w:szCs w:val="22"/>
          <w:lang w:val="is-IS"/>
        </w:rPr>
        <w:t xml:space="preserve">(e. </w:t>
      </w:r>
      <w:r w:rsidR="00F23FE1" w:rsidRPr="00F23FE1">
        <w:rPr>
          <w:szCs w:val="22"/>
          <w:lang w:val="is-IS"/>
        </w:rPr>
        <w:t>Bitumen and bituminous binders - Framework for specifying cationic bitumen emulsions</w:t>
      </w:r>
      <w:r w:rsidR="00F23FE1">
        <w:rPr>
          <w:szCs w:val="22"/>
          <w:lang w:val="is-IS"/>
        </w:rPr>
        <w:t xml:space="preserve">) </w:t>
      </w:r>
      <w:r>
        <w:rPr>
          <w:szCs w:val="22"/>
          <w:lang w:val="is-IS"/>
        </w:rPr>
        <w:t xml:space="preserve">og stöðlum sem þar er vísað til. </w:t>
      </w:r>
      <w:r w:rsidRPr="00AA47A3">
        <w:rPr>
          <w:szCs w:val="22"/>
          <w:lang w:val="is-IS"/>
        </w:rPr>
        <w:t xml:space="preserve"> </w:t>
      </w:r>
      <w:r w:rsidRPr="00AA47A3">
        <w:rPr>
          <w:b/>
          <w:i/>
          <w:szCs w:val="22"/>
          <w:lang w:val="is-IS"/>
        </w:rPr>
        <w:t xml:space="preserve">  </w:t>
      </w:r>
    </w:p>
    <w:p w14:paraId="33D07BFF" w14:textId="3C2F676A" w:rsidR="00DD488B" w:rsidRDefault="00DD488B" w:rsidP="00DD488B">
      <w:pPr>
        <w:ind w:right="29" w:firstLine="342"/>
        <w:jc w:val="both"/>
        <w:rPr>
          <w:lang w:val="is-IS"/>
        </w:rPr>
      </w:pPr>
      <w:r w:rsidRPr="0061422F">
        <w:rPr>
          <w:i/>
          <w:lang w:val="is-IS"/>
        </w:rPr>
        <w:t>Seigja.</w:t>
      </w:r>
      <w:r>
        <w:rPr>
          <w:lang w:val="is-IS"/>
        </w:rPr>
        <w:t xml:space="preserve"> Hún er mælikvarði á rennslistregðu bikþeytunnar (óhlaupinnar) og er ýmist mæld við 40°C eða 50°C, eftir því hvaða flokkur á í hlut. Mælingin felst í því að láta tiltekið magn af bikþeytu renna í gegnum op með tiltekinni lögun (sem er breytileg eftir flokkum) og mæla tímann sem það tekur. Seigjan skiptir m.a. máli fyrir val á bikþeytu í klæðingar; ef hún er lítil er viss hætta á að bikþeytan renni af steinunum sem hún á að binda saman, áður en hún hleypur og komi þannig að takmörkuðu gagni. Sömuleiðis skiptir seigjan máli þegar bikþeytu er dreift með úðadreifara</w:t>
      </w:r>
      <w:r w:rsidRPr="00B74137">
        <w:rPr>
          <w:lang w:val="is-IS"/>
        </w:rPr>
        <w:t xml:space="preserve"> </w:t>
      </w:r>
      <w:r>
        <w:rPr>
          <w:lang w:val="is-IS"/>
        </w:rPr>
        <w:t>(</w:t>
      </w:r>
      <w:r w:rsidR="00F23FE1">
        <w:rPr>
          <w:lang w:val="is-IS"/>
        </w:rPr>
        <w:t>e.</w:t>
      </w:r>
      <w:r>
        <w:rPr>
          <w:lang w:val="is-IS"/>
        </w:rPr>
        <w:t xml:space="preserve">spray bar), t. d. þegar hún er notuð til límingar. </w:t>
      </w:r>
      <w:r>
        <w:rPr>
          <w:i/>
          <w:lang w:val="is-IS"/>
        </w:rPr>
        <w:t>E</w:t>
      </w:r>
      <w:r w:rsidRPr="00517D9F">
        <w:rPr>
          <w:i/>
          <w:lang w:val="is-IS"/>
        </w:rPr>
        <w:t>iming</w:t>
      </w:r>
      <w:r>
        <w:rPr>
          <w:i/>
          <w:lang w:val="is-IS"/>
        </w:rPr>
        <w:t>arleif</w:t>
      </w:r>
      <w:r>
        <w:rPr>
          <w:lang w:val="is-IS"/>
        </w:rPr>
        <w:t xml:space="preserve">. Prófið er gert til að mæla hlutfall virks bindiefnis í bikþeytunni (sem oftast er á bilinu 40-70%). </w:t>
      </w:r>
    </w:p>
    <w:p w14:paraId="33D07C00" w14:textId="0CBCF8C5" w:rsidR="00DD488B" w:rsidRDefault="00F23FE1" w:rsidP="00DD488B">
      <w:pPr>
        <w:ind w:right="29" w:firstLine="342"/>
        <w:jc w:val="both"/>
        <w:rPr>
          <w:lang w:val="is-IS"/>
        </w:rPr>
      </w:pPr>
      <w:r>
        <w:rPr>
          <w:i/>
          <w:lang w:val="is-IS"/>
        </w:rPr>
        <w:t>Brotstuðull</w:t>
      </w:r>
      <w:r w:rsidR="00DD488B" w:rsidRPr="00DB5A71">
        <w:rPr>
          <w:i/>
          <w:lang w:val="is-IS"/>
        </w:rPr>
        <w:t>.</w:t>
      </w:r>
      <w:r w:rsidR="00DD488B">
        <w:rPr>
          <w:i/>
          <w:lang w:val="is-IS"/>
        </w:rPr>
        <w:t xml:space="preserve"> </w:t>
      </w:r>
      <w:r w:rsidR="00DD488B">
        <w:rPr>
          <w:lang w:val="is-IS"/>
        </w:rPr>
        <w:t>Þetta gildi (</w:t>
      </w:r>
      <w:r>
        <w:rPr>
          <w:lang w:val="is-IS"/>
        </w:rPr>
        <w:t xml:space="preserve">e. </w:t>
      </w:r>
      <w:r w:rsidR="00DD488B">
        <w:rPr>
          <w:lang w:val="is-IS"/>
        </w:rPr>
        <w:t>breaking value)</w:t>
      </w:r>
      <w:r w:rsidR="00BA1293">
        <w:rPr>
          <w:lang w:val="is-IS"/>
        </w:rPr>
        <w:t xml:space="preserve"> er</w:t>
      </w:r>
      <w:r w:rsidR="00DD488B">
        <w:rPr>
          <w:lang w:val="is-IS"/>
        </w:rPr>
        <w:t xml:space="preserve"> mælt með því að blanda bikþeytuna með mélu. Út í tiltekið magn af bikþeytu er blandað vissri tegund af mélu með jöfnum hraða þar til bikþeytan hefur </w:t>
      </w:r>
      <w:r>
        <w:rPr>
          <w:lang w:val="is-IS"/>
        </w:rPr>
        <w:t xml:space="preserve">brotnað </w:t>
      </w:r>
      <w:r w:rsidR="00DD488B">
        <w:rPr>
          <w:lang w:val="is-IS"/>
        </w:rPr>
        <w:t xml:space="preserve">að fullu. Mélumagnið sem hlutfall af bikþeytumagninu er mælikvarði á það hversu hratt bikþeytan </w:t>
      </w:r>
      <w:r w:rsidR="00F86F17">
        <w:rPr>
          <w:lang w:val="is-IS"/>
        </w:rPr>
        <w:t>brotnar</w:t>
      </w:r>
      <w:r w:rsidR="00DD488B">
        <w:rPr>
          <w:lang w:val="is-IS"/>
        </w:rPr>
        <w:t xml:space="preserve"> eftir að henni hefur verið dreift eða blandað saman við steinefni. Þessi eiginleiki skiptir miklu máli fyrir notkun bikþeytunnar; ef bikþeyta </w:t>
      </w:r>
      <w:r>
        <w:rPr>
          <w:lang w:val="is-IS"/>
        </w:rPr>
        <w:t xml:space="preserve">brotnar </w:t>
      </w:r>
      <w:r w:rsidR="00DD488B">
        <w:rPr>
          <w:lang w:val="is-IS"/>
        </w:rPr>
        <w:t>treglega tekur að sama skapi langan tíma áður en hægt er að hleypa umferð á slitlag</w:t>
      </w:r>
      <w:r w:rsidR="00DD488B" w:rsidRPr="00B74137">
        <w:rPr>
          <w:lang w:val="is-IS"/>
        </w:rPr>
        <w:t xml:space="preserve"> </w:t>
      </w:r>
      <w:r w:rsidR="00DD488B">
        <w:rPr>
          <w:lang w:val="is-IS"/>
        </w:rPr>
        <w:t xml:space="preserve">úr bikþeytu, t.d. klæðingu. Ef bikþeytan </w:t>
      </w:r>
      <w:r w:rsidR="008412FD">
        <w:rPr>
          <w:lang w:val="is-IS"/>
        </w:rPr>
        <w:t xml:space="preserve">brotnar </w:t>
      </w:r>
      <w:r w:rsidR="00DD488B">
        <w:rPr>
          <w:lang w:val="is-IS"/>
        </w:rPr>
        <w:t>of hratt getur farið svo að ekki náist að blanda bikþeytu og steinefni nægilega vel saman áður en hún hleypur</w:t>
      </w:r>
      <w:r w:rsidR="00DD488B" w:rsidRPr="00A67B49">
        <w:rPr>
          <w:lang w:val="is-IS"/>
        </w:rPr>
        <w:t xml:space="preserve"> </w:t>
      </w:r>
      <w:r w:rsidR="00DD488B">
        <w:rPr>
          <w:lang w:val="is-IS"/>
        </w:rPr>
        <w:t xml:space="preserve">og þá getur farið svo að hvorutveggja sé ónýtt. </w:t>
      </w:r>
    </w:p>
    <w:p w14:paraId="33D07C01" w14:textId="77777777" w:rsidR="00DD488B" w:rsidRDefault="00DD488B" w:rsidP="00DD488B">
      <w:pPr>
        <w:ind w:right="29" w:firstLine="342"/>
        <w:jc w:val="both"/>
        <w:rPr>
          <w:lang w:val="is-IS"/>
        </w:rPr>
      </w:pPr>
      <w:r w:rsidRPr="00AC43C1">
        <w:rPr>
          <w:i/>
          <w:lang w:val="is-IS"/>
        </w:rPr>
        <w:t xml:space="preserve">Sigtileif. </w:t>
      </w:r>
      <w:r w:rsidRPr="00AC43C1">
        <w:rPr>
          <w:lang w:val="is-IS"/>
        </w:rPr>
        <w:t>P</w:t>
      </w:r>
      <w:r>
        <w:rPr>
          <w:lang w:val="is-IS"/>
        </w:rPr>
        <w:t xml:space="preserve">rófið gefur vísbendingar um ástand bikþeytu eftir geymslu í tiltekinn tíma. Þá er kannað hvort bikdroparnir í henni séu óeðlilega stórir, sem gefur til </w:t>
      </w:r>
      <w:r w:rsidR="00F86F17">
        <w:rPr>
          <w:lang w:val="is-IS"/>
        </w:rPr>
        <w:t>kynna að hún sé byrjuð að brotna</w:t>
      </w:r>
      <w:r>
        <w:rPr>
          <w:lang w:val="is-IS"/>
        </w:rPr>
        <w:t xml:space="preserve"> umfram það sem eðlilegt getur talist. Prófið gefur einnig vísbendingar um gæði bikþeytunnar án tillits til geymsluþols; ef hún stenst ekki prófið getur það bent til mistaka í framleiðsluferlinu.</w:t>
      </w:r>
    </w:p>
    <w:p w14:paraId="33D07C02" w14:textId="3DD01050" w:rsidR="00DD488B" w:rsidRDefault="00DD488B" w:rsidP="00DD488B">
      <w:pPr>
        <w:ind w:right="29" w:firstLine="342"/>
        <w:jc w:val="both"/>
        <w:rPr>
          <w:lang w:val="is-IS"/>
        </w:rPr>
      </w:pPr>
      <w:r>
        <w:rPr>
          <w:lang w:val="is-IS"/>
        </w:rPr>
        <w:t>Geymsluþol bikþeytu er prófað með því að láta sýni standa óhreyft í mæliglasi í tiltekinn tíma, oft einn eða fimm sólarhringa. Sýnið er síðan síað á tveim si</w:t>
      </w:r>
      <w:r w:rsidR="008412FD">
        <w:rPr>
          <w:lang w:val="is-IS"/>
        </w:rPr>
        <w:t>g</w:t>
      </w:r>
      <w:r>
        <w:rPr>
          <w:lang w:val="is-IS"/>
        </w:rPr>
        <w:t>tum, annað með 0,500 mm og hitt með 0,160 mm möskvastærð. Magn bikþeytu sem verður eftir á si</w:t>
      </w:r>
      <w:r w:rsidR="008412FD">
        <w:rPr>
          <w:lang w:val="is-IS"/>
        </w:rPr>
        <w:t>g</w:t>
      </w:r>
      <w:r>
        <w:rPr>
          <w:lang w:val="is-IS"/>
        </w:rPr>
        <w:t>tunum, sem hlutfall af magninu sem hellt er á si</w:t>
      </w:r>
      <w:r w:rsidR="008412FD">
        <w:rPr>
          <w:lang w:val="is-IS"/>
        </w:rPr>
        <w:t>g</w:t>
      </w:r>
      <w:r>
        <w:rPr>
          <w:lang w:val="is-IS"/>
        </w:rPr>
        <w:t xml:space="preserve">tin, er mælikvarði á gæði bikþeytunnar. </w:t>
      </w:r>
    </w:p>
    <w:p w14:paraId="33D07C03" w14:textId="77777777" w:rsidR="00DD488B" w:rsidRDefault="00DD488B" w:rsidP="00DD488B">
      <w:pPr>
        <w:ind w:right="29" w:firstLine="342"/>
        <w:jc w:val="both"/>
        <w:rPr>
          <w:lang w:val="is-IS"/>
        </w:rPr>
      </w:pPr>
    </w:p>
    <w:p w14:paraId="33D07C04" w14:textId="09073FF9" w:rsidR="00DD488B" w:rsidRPr="004741DB" w:rsidRDefault="00DD488B" w:rsidP="00DD488B">
      <w:pPr>
        <w:jc w:val="both"/>
        <w:rPr>
          <w:lang w:val="is-IS"/>
        </w:rPr>
      </w:pPr>
      <w:r w:rsidRPr="004741DB">
        <w:rPr>
          <w:b/>
          <w:lang w:val="is-IS"/>
        </w:rPr>
        <w:t>Prófanir á froðubiki</w:t>
      </w:r>
      <w:r>
        <w:rPr>
          <w:b/>
          <w:lang w:val="is-IS"/>
        </w:rPr>
        <w:t xml:space="preserve">. </w:t>
      </w:r>
      <w:r w:rsidRPr="004741DB">
        <w:rPr>
          <w:lang w:val="is-IS"/>
        </w:rPr>
        <w:t xml:space="preserve">Froðubik sem slíkt er ekki hægt að prófa vegna þess að það </w:t>
      </w:r>
      <w:r>
        <w:rPr>
          <w:lang w:val="is-IS"/>
        </w:rPr>
        <w:t xml:space="preserve">er ekki í freyðandi ástandi nema mjög stutta stund. </w:t>
      </w:r>
      <w:r w:rsidR="00946DD5">
        <w:rPr>
          <w:lang w:val="is-IS"/>
        </w:rPr>
        <w:t>Bik</w:t>
      </w:r>
      <w:r>
        <w:rPr>
          <w:lang w:val="is-IS"/>
        </w:rPr>
        <w:t xml:space="preserve">ið, sem er uppistaða í froðubikinu, er hins vegar prófað á hefðbundinn hátt. </w:t>
      </w:r>
    </w:p>
    <w:p w14:paraId="33D07C05" w14:textId="77777777" w:rsidR="00DD488B" w:rsidRDefault="00DD488B" w:rsidP="00DD488B">
      <w:pPr>
        <w:jc w:val="both"/>
        <w:rPr>
          <w:lang w:val="is-IS"/>
        </w:rPr>
      </w:pPr>
    </w:p>
    <w:p w14:paraId="33D07C06" w14:textId="3BFC0484" w:rsidR="00DD488B" w:rsidRDefault="00DD488B" w:rsidP="00DD488B">
      <w:pPr>
        <w:jc w:val="both"/>
        <w:rPr>
          <w:lang w:val="is-IS"/>
        </w:rPr>
      </w:pPr>
      <w:r w:rsidRPr="002F3292">
        <w:rPr>
          <w:b/>
          <w:lang w:val="is-IS"/>
        </w:rPr>
        <w:t>Prófanir á breyttum bindiefnum</w:t>
      </w:r>
      <w:r>
        <w:rPr>
          <w:b/>
          <w:lang w:val="is-IS"/>
        </w:rPr>
        <w:t xml:space="preserve">. </w:t>
      </w:r>
      <w:r w:rsidRPr="00ED5688">
        <w:rPr>
          <w:lang w:val="is-IS"/>
        </w:rPr>
        <w:t>Við prófanir á breytt</w:t>
      </w:r>
      <w:r>
        <w:rPr>
          <w:lang w:val="is-IS"/>
        </w:rPr>
        <w:t>um</w:t>
      </w:r>
      <w:r w:rsidRPr="00ED5688">
        <w:rPr>
          <w:lang w:val="is-IS"/>
        </w:rPr>
        <w:t xml:space="preserve"> bindiefn</w:t>
      </w:r>
      <w:r>
        <w:rPr>
          <w:lang w:val="is-IS"/>
        </w:rPr>
        <w:t>um</w:t>
      </w:r>
      <w:r w:rsidRPr="00ED5688">
        <w:rPr>
          <w:lang w:val="is-IS"/>
        </w:rPr>
        <w:t xml:space="preserve"> eru </w:t>
      </w:r>
      <w:r>
        <w:rPr>
          <w:lang w:val="is-IS"/>
        </w:rPr>
        <w:t xml:space="preserve">að hluta til notaðar </w:t>
      </w:r>
      <w:r w:rsidRPr="00ED5688">
        <w:rPr>
          <w:lang w:val="is-IS"/>
        </w:rPr>
        <w:t>hefðbundn</w:t>
      </w:r>
      <w:r>
        <w:rPr>
          <w:lang w:val="is-IS"/>
        </w:rPr>
        <w:t>ar</w:t>
      </w:r>
      <w:r w:rsidRPr="00ED5688">
        <w:rPr>
          <w:lang w:val="is-IS"/>
        </w:rPr>
        <w:t xml:space="preserve"> prófunaraðferð</w:t>
      </w:r>
      <w:r>
        <w:rPr>
          <w:lang w:val="is-IS"/>
        </w:rPr>
        <w:t xml:space="preserve">ir, en einnig prófunaraðferðir </w:t>
      </w:r>
      <w:r w:rsidRPr="00ED5688">
        <w:rPr>
          <w:lang w:val="is-IS"/>
        </w:rPr>
        <w:t>sem hafa verið þróaðar sérstaklega fyrir þau.</w:t>
      </w:r>
      <w:r>
        <w:rPr>
          <w:b/>
          <w:lang w:val="is-IS"/>
        </w:rPr>
        <w:t xml:space="preserve"> </w:t>
      </w:r>
      <w:r w:rsidRPr="00ED5688">
        <w:rPr>
          <w:lang w:val="is-IS"/>
        </w:rPr>
        <w:t xml:space="preserve">Þar sem breytt bindiefni eru </w:t>
      </w:r>
      <w:r w:rsidR="008412FD">
        <w:rPr>
          <w:lang w:val="is-IS"/>
        </w:rPr>
        <w:t>tiltölulega</w:t>
      </w:r>
      <w:r w:rsidR="008412FD" w:rsidRPr="00ED5688">
        <w:rPr>
          <w:lang w:val="is-IS"/>
        </w:rPr>
        <w:t xml:space="preserve"> </w:t>
      </w:r>
      <w:r w:rsidRPr="00ED5688">
        <w:rPr>
          <w:lang w:val="is-IS"/>
        </w:rPr>
        <w:t>lítið notuð h</w:t>
      </w:r>
      <w:r>
        <w:rPr>
          <w:lang w:val="is-IS"/>
        </w:rPr>
        <w:t>ér</w:t>
      </w:r>
      <w:r w:rsidRPr="00ED5688">
        <w:rPr>
          <w:lang w:val="is-IS"/>
        </w:rPr>
        <w:t>lendis</w:t>
      </w:r>
      <w:r>
        <w:rPr>
          <w:lang w:val="is-IS"/>
        </w:rPr>
        <w:t xml:space="preserve">, </w:t>
      </w:r>
      <w:r w:rsidRPr="00ED5688">
        <w:rPr>
          <w:lang w:val="is-IS"/>
        </w:rPr>
        <w:t xml:space="preserve">eru þeim </w:t>
      </w:r>
      <w:r w:rsidR="008412FD">
        <w:rPr>
          <w:lang w:val="is-IS"/>
        </w:rPr>
        <w:t>ekki gerð</w:t>
      </w:r>
      <w:r w:rsidR="008412FD" w:rsidRPr="00ED5688">
        <w:rPr>
          <w:lang w:val="is-IS"/>
        </w:rPr>
        <w:t xml:space="preserve"> </w:t>
      </w:r>
      <w:r w:rsidRPr="00ED5688">
        <w:rPr>
          <w:lang w:val="is-IS"/>
        </w:rPr>
        <w:t>skil h</w:t>
      </w:r>
      <w:r>
        <w:rPr>
          <w:lang w:val="is-IS"/>
        </w:rPr>
        <w:t xml:space="preserve">ér. </w:t>
      </w:r>
      <w:r w:rsidRPr="00ED5688">
        <w:rPr>
          <w:lang w:val="is-IS"/>
        </w:rPr>
        <w:t xml:space="preserve"> </w:t>
      </w:r>
    </w:p>
    <w:p w14:paraId="33D07C07" w14:textId="77777777" w:rsidR="00180CA5" w:rsidRPr="00DE44A0" w:rsidRDefault="00180CA5" w:rsidP="00DD488B">
      <w:pPr>
        <w:jc w:val="both"/>
        <w:rPr>
          <w:color w:val="FF0000"/>
          <w:lang w:val="is-IS"/>
        </w:rPr>
      </w:pPr>
    </w:p>
    <w:p w14:paraId="33D07C08" w14:textId="77777777" w:rsidR="00180CA5" w:rsidRPr="00DE44A0" w:rsidRDefault="00180CA5" w:rsidP="00180CA5">
      <w:pPr>
        <w:ind w:firstLine="340"/>
        <w:jc w:val="both"/>
        <w:rPr>
          <w:b/>
          <w:color w:val="FF0000"/>
          <w:lang w:val="is-IS"/>
        </w:rPr>
      </w:pPr>
      <w:r w:rsidRPr="00DE44A0">
        <w:rPr>
          <w:b/>
          <w:color w:val="FF0000"/>
          <w:lang w:val="is-IS"/>
        </w:rPr>
        <w:t>ATHUGASEMD RITSTJÓRNAR Í JANÚAR 2020</w:t>
      </w:r>
    </w:p>
    <w:p w14:paraId="33D07C0A" w14:textId="2EB9C9B0" w:rsidR="00DD488B" w:rsidRPr="00DE44A0" w:rsidRDefault="00180CA5" w:rsidP="00D14E7C">
      <w:pPr>
        <w:spacing w:after="60"/>
        <w:jc w:val="both"/>
        <w:rPr>
          <w:color w:val="FF0000"/>
          <w:lang w:val="is-IS"/>
        </w:rPr>
      </w:pPr>
      <w:r w:rsidRPr="00DE44A0">
        <w:rPr>
          <w:color w:val="FF0000"/>
        </w:rPr>
        <w:t xml:space="preserve">Þessi kafli fær að halda sér að mestu leyti, nema að tilvísanir í prófunarstaðla er </w:t>
      </w:r>
      <w:r w:rsidR="00DE44A0" w:rsidRPr="00DE44A0">
        <w:rPr>
          <w:color w:val="FF0000"/>
        </w:rPr>
        <w:t>slept að hluta til</w:t>
      </w:r>
      <w:r w:rsidRPr="00DE44A0">
        <w:rPr>
          <w:color w:val="FF0000"/>
        </w:rPr>
        <w:t>, enda gætu þeir hafa tekið ýmsum breytingum frá því að þessi kafli var skrifaður.</w:t>
      </w:r>
    </w:p>
    <w:p w14:paraId="33D07C0B" w14:textId="77777777" w:rsidR="00DD488B" w:rsidRPr="006868A9" w:rsidRDefault="00DD488B" w:rsidP="006868A9">
      <w:pPr>
        <w:pStyle w:val="Heading2"/>
      </w:pPr>
      <w:bookmarkStart w:id="9" w:name="_Toc52974014"/>
      <w:r w:rsidRPr="006868A9">
        <w:t>Breytt bindiefni</w:t>
      </w:r>
      <w:bookmarkEnd w:id="9"/>
      <w:r w:rsidRPr="006868A9">
        <w:t xml:space="preserve"> </w:t>
      </w:r>
    </w:p>
    <w:p w14:paraId="33D07C0C" w14:textId="10DC3C33" w:rsidR="00DD488B" w:rsidRDefault="00DD488B" w:rsidP="00DD488B">
      <w:pPr>
        <w:jc w:val="both"/>
        <w:rPr>
          <w:lang w:val="is-IS"/>
        </w:rPr>
      </w:pPr>
      <w:r>
        <w:rPr>
          <w:lang w:val="is-IS"/>
        </w:rPr>
        <w:t xml:space="preserve">Aflfræðilegum eiginleikum bikbindiefna má breyta á ýmsa vegu með </w:t>
      </w:r>
      <w:r w:rsidR="008412FD">
        <w:rPr>
          <w:lang w:val="is-IS"/>
        </w:rPr>
        <w:t xml:space="preserve">því að </w:t>
      </w:r>
      <w:r>
        <w:rPr>
          <w:lang w:val="is-IS"/>
        </w:rPr>
        <w:t>blanda þau með tilteknum íaukum (</w:t>
      </w:r>
      <w:r w:rsidR="008412FD">
        <w:rPr>
          <w:lang w:val="is-IS"/>
        </w:rPr>
        <w:t xml:space="preserve">e. </w:t>
      </w:r>
      <w:r>
        <w:rPr>
          <w:lang w:val="is-IS"/>
        </w:rPr>
        <w:t>additives) sem eru lífræn efnasambönd. Þau geta verið margs konar en algengust eru gúmmíkenndir íaukar (</w:t>
      </w:r>
      <w:r w:rsidR="008412FD">
        <w:rPr>
          <w:lang w:val="is-IS"/>
        </w:rPr>
        <w:t xml:space="preserve">e. </w:t>
      </w:r>
      <w:r>
        <w:rPr>
          <w:lang w:val="is-IS"/>
        </w:rPr>
        <w:t>elastomers), hitameyrir íaukar (</w:t>
      </w:r>
      <w:r w:rsidR="008412FD">
        <w:rPr>
          <w:lang w:val="is-IS"/>
        </w:rPr>
        <w:t xml:space="preserve">e. </w:t>
      </w:r>
      <w:r>
        <w:rPr>
          <w:lang w:val="is-IS"/>
        </w:rPr>
        <w:t>thermoplastics) og íaukar sem eru bæði hitameyrir og gúmmíkenndir (</w:t>
      </w:r>
      <w:r w:rsidR="008412FD">
        <w:rPr>
          <w:lang w:val="is-IS"/>
        </w:rPr>
        <w:t xml:space="preserve">e. </w:t>
      </w:r>
      <w:r>
        <w:rPr>
          <w:lang w:val="is-IS"/>
        </w:rPr>
        <w:t xml:space="preserve">thermoplastic elastomers). Þessir íaukar </w:t>
      </w:r>
      <w:r>
        <w:rPr>
          <w:lang w:val="is-IS"/>
        </w:rPr>
        <w:lastRenderedPageBreak/>
        <w:t xml:space="preserve">samlagast bindiefninu fullkomlega og mynda eins konar þrívítt net sem takmarkar hreyfanleika sameindanna í bindefninu. Þeim er blandað í bindiefnið í fremur litlu magni (3-10%) og tilgangurinn er að auka þol slitlagsins gagnvart veðurfari, einkum langvarandi sumarhitum og miklum kuldum, og þungri umferð. Með þessu móti verður bindiefnið þjálla við lágt hitastig heldur en óbreytt bindiefni en um leið stífara við hátt hitastig. Þreytuþol slitlagsins eykst og því er síður hætt við að springa í frostum. Sum breytt bindiefni hafa betri viðloðun við steinefni en óbreytt bindiefni. </w:t>
      </w:r>
    </w:p>
    <w:p w14:paraId="33D07C0D" w14:textId="11DA3377" w:rsidR="00DD488B" w:rsidRDefault="00DD488B" w:rsidP="00DD488B">
      <w:pPr>
        <w:ind w:firstLine="342"/>
        <w:jc w:val="both"/>
        <w:rPr>
          <w:lang w:val="is-IS"/>
        </w:rPr>
      </w:pPr>
      <w:r>
        <w:rPr>
          <w:lang w:val="is-IS"/>
        </w:rPr>
        <w:t>Breytt bindiefni eru dýrari en hefðbundin bindiefni. Þau eru</w:t>
      </w:r>
      <w:r w:rsidR="00EB7660">
        <w:rPr>
          <w:lang w:val="is-IS"/>
        </w:rPr>
        <w:t xml:space="preserve"> talsvert</w:t>
      </w:r>
      <w:r>
        <w:rPr>
          <w:lang w:val="is-IS"/>
        </w:rPr>
        <w:t xml:space="preserve"> notuð er</w:t>
      </w:r>
      <w:r w:rsidR="001F0FB6">
        <w:rPr>
          <w:lang w:val="is-IS"/>
        </w:rPr>
        <w:t>lendis, einkum á stöðum þar sem</w:t>
      </w:r>
      <w:r>
        <w:rPr>
          <w:lang w:val="is-IS"/>
        </w:rPr>
        <w:t xml:space="preserve"> aðstæður, einkum umferð eða veðurfar, gera miklar kröfur til slitlagsins og notkun þeirra fer vaxandi. </w:t>
      </w:r>
    </w:p>
    <w:p w14:paraId="33D07C0E" w14:textId="29BB3E26" w:rsidR="00DD488B" w:rsidRDefault="00DD488B" w:rsidP="00DD488B">
      <w:pPr>
        <w:ind w:firstLine="342"/>
        <w:jc w:val="both"/>
        <w:rPr>
          <w:lang w:val="is-IS"/>
        </w:rPr>
      </w:pPr>
      <w:r>
        <w:rPr>
          <w:lang w:val="is-IS"/>
        </w:rPr>
        <w:t>Algengustu flokkar íauka, sem eru not</w:t>
      </w:r>
      <w:r w:rsidR="00EB7660">
        <w:rPr>
          <w:lang w:val="is-IS"/>
        </w:rPr>
        <w:t>aðir</w:t>
      </w:r>
      <w:r>
        <w:rPr>
          <w:lang w:val="is-IS"/>
        </w:rPr>
        <w:t xml:space="preserve"> til að breyta bindiefnum og áhrif þeirra eru:</w:t>
      </w:r>
    </w:p>
    <w:p w14:paraId="33D07C0F" w14:textId="77777777" w:rsidR="00DD488B" w:rsidRDefault="00DD488B" w:rsidP="00DD488B">
      <w:pPr>
        <w:ind w:firstLine="342"/>
        <w:jc w:val="both"/>
        <w:rPr>
          <w:lang w:val="is-IS"/>
        </w:rPr>
      </w:pPr>
      <w:r w:rsidRPr="003F7AB7">
        <w:rPr>
          <w:i/>
          <w:lang w:val="is-IS"/>
        </w:rPr>
        <w:t>Gúmmíkennd</w:t>
      </w:r>
      <w:r>
        <w:rPr>
          <w:i/>
          <w:lang w:val="is-IS"/>
        </w:rPr>
        <w:t>ir</w:t>
      </w:r>
      <w:r w:rsidRPr="003F7AB7">
        <w:rPr>
          <w:i/>
          <w:lang w:val="is-IS"/>
        </w:rPr>
        <w:t xml:space="preserve"> </w:t>
      </w:r>
      <w:r>
        <w:rPr>
          <w:i/>
          <w:lang w:val="is-IS"/>
        </w:rPr>
        <w:t>íaukar</w:t>
      </w:r>
      <w:r w:rsidRPr="003F7AB7">
        <w:rPr>
          <w:i/>
          <w:lang w:val="is-IS"/>
        </w:rPr>
        <w:t>.</w:t>
      </w:r>
      <w:r>
        <w:rPr>
          <w:lang w:val="is-IS"/>
        </w:rPr>
        <w:t xml:space="preserve"> Þessi efni eru gúmmí að stofni til, ýmist í formi dufts eða þeytu (</w:t>
      </w:r>
      <w:r w:rsidR="00EB7660">
        <w:rPr>
          <w:lang w:val="is-IS"/>
        </w:rPr>
        <w:t xml:space="preserve">e. </w:t>
      </w:r>
      <w:r>
        <w:rPr>
          <w:lang w:val="is-IS"/>
        </w:rPr>
        <w:t>latex) sem er blandað í bindiefnið. Þau auka sveigjanleika malbiks og vinna gegn skriði, en bráðna ekki og geta skemmst við mjög hátt hitastig. Blöndun þeirra í bindiefni getur verið erfiðleikum bundin.</w:t>
      </w:r>
    </w:p>
    <w:p w14:paraId="33D07C10" w14:textId="77777777" w:rsidR="00DD488B" w:rsidRDefault="00DD488B" w:rsidP="00DD488B">
      <w:pPr>
        <w:ind w:firstLine="342"/>
        <w:jc w:val="both"/>
        <w:rPr>
          <w:lang w:val="is-IS"/>
        </w:rPr>
      </w:pPr>
      <w:r w:rsidRPr="003F7AB7">
        <w:rPr>
          <w:i/>
          <w:lang w:val="is-IS"/>
        </w:rPr>
        <w:t>Hitameyr</w:t>
      </w:r>
      <w:r>
        <w:rPr>
          <w:i/>
          <w:lang w:val="is-IS"/>
        </w:rPr>
        <w:t>ir íaukar</w:t>
      </w:r>
      <w:r w:rsidRPr="003F7AB7">
        <w:rPr>
          <w:i/>
          <w:lang w:val="is-IS"/>
        </w:rPr>
        <w:t>.</w:t>
      </w:r>
      <w:r w:rsidRPr="007E0479">
        <w:rPr>
          <w:b/>
          <w:lang w:val="is-IS"/>
        </w:rPr>
        <w:t xml:space="preserve"> </w:t>
      </w:r>
      <w:r w:rsidRPr="00496B4C">
        <w:rPr>
          <w:lang w:val="is-IS"/>
        </w:rPr>
        <w:t>Í þessum flokki eru polyetylen (PE)</w:t>
      </w:r>
      <w:r>
        <w:rPr>
          <w:lang w:val="is-IS"/>
        </w:rPr>
        <w:t>, polypropylen (PP) og sumar gerðir etylenvinylacetats (EVA).</w:t>
      </w:r>
      <w:r>
        <w:rPr>
          <w:b/>
          <w:lang w:val="is-IS"/>
        </w:rPr>
        <w:t xml:space="preserve"> </w:t>
      </w:r>
      <w:r>
        <w:rPr>
          <w:lang w:val="is-IS"/>
        </w:rPr>
        <w:t>Þau</w:t>
      </w:r>
      <w:r w:rsidRPr="007E0479">
        <w:rPr>
          <w:lang w:val="is-IS"/>
        </w:rPr>
        <w:t xml:space="preserve"> bráðna án</w:t>
      </w:r>
      <w:r>
        <w:rPr>
          <w:lang w:val="is-IS"/>
        </w:rPr>
        <w:t xml:space="preserve"> </w:t>
      </w:r>
      <w:r w:rsidRPr="007E0479">
        <w:rPr>
          <w:lang w:val="is-IS"/>
        </w:rPr>
        <w:t xml:space="preserve">þess að skemmast og storkna aftur þegar hitastigið lækkar. </w:t>
      </w:r>
      <w:r w:rsidR="00BA1293">
        <w:rPr>
          <w:lang w:val="is-IS"/>
        </w:rPr>
        <w:t>Hitameyrir íaukar</w:t>
      </w:r>
      <w:r>
        <w:rPr>
          <w:lang w:val="is-IS"/>
        </w:rPr>
        <w:t xml:space="preserve"> draga fyrst og fremst úr líkum á skriði en hafa lítil áhrif á sveigjanleika malbiksins og þreytuþol.</w:t>
      </w:r>
    </w:p>
    <w:p w14:paraId="33D07C11" w14:textId="77777777" w:rsidR="00DD488B" w:rsidRDefault="00DD488B" w:rsidP="00DD488B">
      <w:pPr>
        <w:ind w:firstLine="342"/>
        <w:jc w:val="both"/>
        <w:rPr>
          <w:lang w:val="is-IS"/>
        </w:rPr>
      </w:pPr>
      <w:r w:rsidRPr="003F7AB7">
        <w:rPr>
          <w:i/>
          <w:lang w:val="is-IS"/>
        </w:rPr>
        <w:t>Hitameyrir og gúmmíkennd</w:t>
      </w:r>
      <w:r>
        <w:rPr>
          <w:i/>
          <w:lang w:val="is-IS"/>
        </w:rPr>
        <w:t>ir íaukar</w:t>
      </w:r>
      <w:r w:rsidRPr="003F7AB7">
        <w:rPr>
          <w:i/>
          <w:lang w:val="is-IS"/>
        </w:rPr>
        <w:t>.</w:t>
      </w:r>
      <w:r>
        <w:rPr>
          <w:lang w:val="is-IS"/>
        </w:rPr>
        <w:t xml:space="preserve"> Þ</w:t>
      </w:r>
      <w:r w:rsidR="00BA1293">
        <w:rPr>
          <w:lang w:val="is-IS"/>
        </w:rPr>
        <w:t>eir</w:t>
      </w:r>
      <w:r>
        <w:rPr>
          <w:lang w:val="is-IS"/>
        </w:rPr>
        <w:t xml:space="preserve"> sameina eiginleika fyrrnefndu flokkanna eins og nafnið bendir til, bráðna við hátt hitastig en halda fjaðrandi eiginleikum sínum við lágt hitastig. Sum þessara efna eru talin auka slitþol malbiks gagnvart negldum hjólbörðum. Í þessum flokki eru sumar gerðir etylenvinylacetats (EVA), styren-butadien-styren (SBS) og styren-butadien-rubber (SBR).  </w:t>
      </w:r>
    </w:p>
    <w:p w14:paraId="33D07C12" w14:textId="72A75AE9" w:rsidR="00DD488B" w:rsidRDefault="00DD488B" w:rsidP="00DD488B">
      <w:pPr>
        <w:ind w:firstLine="342"/>
        <w:jc w:val="both"/>
        <w:rPr>
          <w:lang w:val="is-IS"/>
        </w:rPr>
      </w:pPr>
      <w:r>
        <w:rPr>
          <w:lang w:val="is-IS"/>
        </w:rPr>
        <w:t>Að lokum er rétt að taka fram að eiginleikum bindiefna má breyta á ýmsa vegu þótt ekki sé með eiginlegum íaukum eða efnasamböndum sem beinlínis er ætlað að breyta aflfræðilegum eiginleikum þeirra. Eitt dæmi er</w:t>
      </w:r>
      <w:r w:rsidR="00C4702C">
        <w:rPr>
          <w:lang w:val="is-IS"/>
        </w:rPr>
        <w:t>u</w:t>
      </w:r>
      <w:r>
        <w:rPr>
          <w:lang w:val="is-IS"/>
        </w:rPr>
        <w:t xml:space="preserve"> viðloðunarefni ýmis konar sem oft er blandað í bindiefni, en það telst ekki til breyttra bindiefna, þótt viðloðunareiginleikar þess breytist. Annað dæmi er tvær gerðir </w:t>
      </w:r>
      <w:r w:rsidR="00946DD5">
        <w:rPr>
          <w:lang w:val="is-IS"/>
        </w:rPr>
        <w:t>bik</w:t>
      </w:r>
      <w:r>
        <w:rPr>
          <w:lang w:val="is-IS"/>
        </w:rPr>
        <w:t>s (með mismunandi stífni) sem er blandað saman til að fá bindiefni með stífni sem liggur á milli hinna tveggja. Þ</w:t>
      </w:r>
      <w:r w:rsidR="00EB7660">
        <w:rPr>
          <w:lang w:val="is-IS"/>
        </w:rPr>
        <w:t>jálbik og þ</w:t>
      </w:r>
      <w:r>
        <w:rPr>
          <w:lang w:val="is-IS"/>
        </w:rPr>
        <w:t xml:space="preserve">unnbik má gera á marga vegu með vali á </w:t>
      </w:r>
      <w:r w:rsidR="00946DD5">
        <w:rPr>
          <w:lang w:val="is-IS"/>
        </w:rPr>
        <w:t>bik</w:t>
      </w:r>
      <w:r>
        <w:rPr>
          <w:lang w:val="is-IS"/>
        </w:rPr>
        <w:t>gerð og eins magni og gerð</w:t>
      </w:r>
      <w:r w:rsidR="00EB7660">
        <w:rPr>
          <w:lang w:val="is-IS"/>
        </w:rPr>
        <w:t xml:space="preserve"> þjálniefnis eða</w:t>
      </w:r>
      <w:r>
        <w:rPr>
          <w:lang w:val="is-IS"/>
        </w:rPr>
        <w:t xml:space="preserve"> þynnis</w:t>
      </w:r>
      <w:r w:rsidR="00EB7660">
        <w:rPr>
          <w:lang w:val="is-IS"/>
        </w:rPr>
        <w:t>.</w:t>
      </w:r>
      <w:r>
        <w:rPr>
          <w:lang w:val="is-IS"/>
        </w:rPr>
        <w:t xml:space="preserve"> Bikþeytur má gera á ótal vegu, og sníða þær eftir aðstæðum þar sem á að nota þær, svo sem með vali á </w:t>
      </w:r>
      <w:r w:rsidR="00946DD5">
        <w:rPr>
          <w:lang w:val="is-IS"/>
        </w:rPr>
        <w:t>bik</w:t>
      </w:r>
      <w:r>
        <w:rPr>
          <w:lang w:val="is-IS"/>
        </w:rPr>
        <w:t xml:space="preserve">i og ýruefnum, hlutfalli vatns og </w:t>
      </w:r>
      <w:r w:rsidR="00946DD5">
        <w:rPr>
          <w:lang w:val="is-IS"/>
        </w:rPr>
        <w:t>bik</w:t>
      </w:r>
      <w:r>
        <w:rPr>
          <w:lang w:val="is-IS"/>
        </w:rPr>
        <w:t>s og framleiðsluaðferð.</w:t>
      </w:r>
    </w:p>
    <w:p w14:paraId="33D07C13" w14:textId="77777777" w:rsidR="00E74691" w:rsidRDefault="00E74691" w:rsidP="00DD488B">
      <w:pPr>
        <w:ind w:firstLine="342"/>
        <w:jc w:val="both"/>
        <w:rPr>
          <w:lang w:val="is-IS"/>
        </w:rPr>
      </w:pPr>
    </w:p>
    <w:p w14:paraId="33D07C14" w14:textId="77777777" w:rsidR="00E74691" w:rsidRPr="00DE44A0" w:rsidRDefault="00E74691" w:rsidP="00E74691">
      <w:pPr>
        <w:ind w:firstLine="340"/>
        <w:jc w:val="both"/>
        <w:rPr>
          <w:b/>
          <w:color w:val="FF0000"/>
          <w:lang w:val="is-IS"/>
        </w:rPr>
      </w:pPr>
      <w:r w:rsidRPr="00DE44A0">
        <w:rPr>
          <w:b/>
          <w:color w:val="FF0000"/>
          <w:lang w:val="is-IS"/>
        </w:rPr>
        <w:t>ATHUGASEMD RITSTJÓRNAR Í JANÚAR 2020</w:t>
      </w:r>
    </w:p>
    <w:p w14:paraId="33D07C15" w14:textId="77777777" w:rsidR="00DD488B" w:rsidRPr="00DE44A0" w:rsidRDefault="00E74691" w:rsidP="00DE44A0">
      <w:pPr>
        <w:jc w:val="both"/>
        <w:rPr>
          <w:color w:val="FF0000"/>
          <w:lang w:val="is-IS"/>
        </w:rPr>
      </w:pPr>
      <w:r w:rsidRPr="00DE44A0">
        <w:rPr>
          <w:color w:val="FF0000"/>
        </w:rPr>
        <w:t>Þessi kafli fær að halda sér að mestu leyti.</w:t>
      </w:r>
    </w:p>
    <w:p w14:paraId="33D07C16" w14:textId="77777777" w:rsidR="00DD488B" w:rsidRDefault="00DD488B" w:rsidP="00DD488B">
      <w:pPr>
        <w:rPr>
          <w:lang w:val="is-IS"/>
        </w:rPr>
      </w:pPr>
    </w:p>
    <w:p w14:paraId="33D07C17" w14:textId="77777777" w:rsidR="00DD488B" w:rsidRPr="001C45E6" w:rsidRDefault="00DD488B" w:rsidP="001C45E6">
      <w:pPr>
        <w:spacing w:after="60"/>
        <w:rPr>
          <w:b/>
          <w:sz w:val="24"/>
          <w:szCs w:val="24"/>
          <w:lang w:val="is-IS"/>
        </w:rPr>
      </w:pPr>
      <w:r w:rsidRPr="001C45E6">
        <w:rPr>
          <w:b/>
          <w:sz w:val="24"/>
          <w:szCs w:val="24"/>
          <w:lang w:val="is-IS"/>
        </w:rPr>
        <w:t>HEIMILDIR</w:t>
      </w:r>
    </w:p>
    <w:p w14:paraId="33D07C18" w14:textId="77777777" w:rsidR="00DD488B" w:rsidRDefault="00DD488B" w:rsidP="00F01789">
      <w:pPr>
        <w:ind w:left="340" w:hanging="340"/>
        <w:jc w:val="both"/>
        <w:rPr>
          <w:szCs w:val="22"/>
          <w:lang w:val="is-IS"/>
        </w:rPr>
      </w:pPr>
      <w:r>
        <w:rPr>
          <w:szCs w:val="22"/>
          <w:lang w:val="is-IS"/>
        </w:rPr>
        <w:t>Hilliges, F</w:t>
      </w:r>
      <w:r w:rsidR="00C4702C">
        <w:rPr>
          <w:szCs w:val="22"/>
          <w:lang w:val="is-IS"/>
        </w:rPr>
        <w:t>.</w:t>
      </w:r>
      <w:r>
        <w:rPr>
          <w:szCs w:val="22"/>
          <w:lang w:val="is-IS"/>
        </w:rPr>
        <w:t xml:space="preserve"> (ritstjóri). 1995. </w:t>
      </w:r>
      <w:r w:rsidRPr="008C2FAD">
        <w:rPr>
          <w:i/>
          <w:szCs w:val="22"/>
          <w:lang w:val="is-IS"/>
        </w:rPr>
        <w:t>FAS Asfaltbok.</w:t>
      </w:r>
      <w:r>
        <w:rPr>
          <w:szCs w:val="22"/>
          <w:lang w:val="is-IS"/>
        </w:rPr>
        <w:t xml:space="preserve"> Föreningen för Asfaltbeläggningar i Sverige. Stockholm.</w:t>
      </w:r>
    </w:p>
    <w:p w14:paraId="33D07C19" w14:textId="77777777" w:rsidR="00DD488B" w:rsidRDefault="00DD488B" w:rsidP="00F01789">
      <w:pPr>
        <w:ind w:left="342" w:hanging="342"/>
        <w:jc w:val="both"/>
        <w:rPr>
          <w:lang w:val="is-IS"/>
        </w:rPr>
      </w:pPr>
      <w:r>
        <w:rPr>
          <w:lang w:val="is-IS"/>
        </w:rPr>
        <w:t xml:space="preserve">Hunter, R. N. (ritstjóri). 1994. </w:t>
      </w:r>
      <w:r w:rsidRPr="005148DC">
        <w:rPr>
          <w:i/>
          <w:lang w:val="is-IS"/>
        </w:rPr>
        <w:t>Bituminous mixtures in road construction.</w:t>
      </w:r>
      <w:r>
        <w:rPr>
          <w:lang w:val="is-IS"/>
        </w:rPr>
        <w:t xml:space="preserve"> Thomas Telford, London. </w:t>
      </w:r>
    </w:p>
    <w:p w14:paraId="33D07C1B" w14:textId="0A2096E6" w:rsidR="00DD488B" w:rsidRDefault="00DD488B" w:rsidP="00F01789">
      <w:pPr>
        <w:ind w:left="340" w:hanging="340"/>
        <w:jc w:val="both"/>
        <w:rPr>
          <w:szCs w:val="22"/>
          <w:lang w:val="is-IS"/>
        </w:rPr>
      </w:pPr>
      <w:r>
        <w:rPr>
          <w:szCs w:val="22"/>
          <w:lang w:val="is-IS"/>
        </w:rPr>
        <w:t xml:space="preserve">ÍST EN 13808. </w:t>
      </w:r>
      <w:r w:rsidRPr="007E0E6D">
        <w:rPr>
          <w:i/>
          <w:szCs w:val="22"/>
          <w:lang w:val="is-IS"/>
        </w:rPr>
        <w:t>Jarðbik og jarðbiksbindiefni – Grunnur til nota við skilgreiningar á jákvætt hlöðnum jarðbiksblöndum.</w:t>
      </w:r>
      <w:r>
        <w:rPr>
          <w:szCs w:val="22"/>
          <w:lang w:val="is-IS"/>
        </w:rPr>
        <w:t xml:space="preserve"> Staðlaráð Íslands, Reykjavík</w:t>
      </w:r>
      <w:r w:rsidRPr="004052CF">
        <w:rPr>
          <w:szCs w:val="22"/>
          <w:lang w:val="is-IS"/>
        </w:rPr>
        <w:t>.</w:t>
      </w:r>
    </w:p>
    <w:p w14:paraId="33D07C1D" w14:textId="3EBD9543" w:rsidR="00DD488B" w:rsidRDefault="00EB7660" w:rsidP="00F01789">
      <w:pPr>
        <w:ind w:left="340" w:hanging="340"/>
        <w:jc w:val="both"/>
        <w:rPr>
          <w:szCs w:val="22"/>
          <w:lang w:val="is-IS"/>
        </w:rPr>
      </w:pPr>
      <w:r>
        <w:rPr>
          <w:szCs w:val="22"/>
          <w:lang w:val="is-IS"/>
        </w:rPr>
        <w:t xml:space="preserve">ÍST </w:t>
      </w:r>
      <w:r w:rsidR="00DD488B" w:rsidRPr="004052CF">
        <w:rPr>
          <w:szCs w:val="22"/>
          <w:lang w:val="is-IS"/>
        </w:rPr>
        <w:t xml:space="preserve">EN </w:t>
      </w:r>
      <w:r w:rsidR="00DD488B">
        <w:rPr>
          <w:szCs w:val="22"/>
          <w:lang w:val="is-IS"/>
        </w:rPr>
        <w:t>12591</w:t>
      </w:r>
      <w:r w:rsidR="00DD488B" w:rsidRPr="003F25A8">
        <w:rPr>
          <w:szCs w:val="22"/>
          <w:lang w:val="is-IS"/>
        </w:rPr>
        <w:t>.</w:t>
      </w:r>
      <w:r w:rsidR="00DD488B" w:rsidRPr="003F25A8">
        <w:rPr>
          <w:i/>
          <w:szCs w:val="22"/>
          <w:lang w:val="is-IS"/>
        </w:rPr>
        <w:t xml:space="preserve"> </w:t>
      </w:r>
      <w:r w:rsidR="00DD488B" w:rsidRPr="007E0E6D">
        <w:rPr>
          <w:i/>
          <w:szCs w:val="22"/>
          <w:lang w:val="is-IS"/>
        </w:rPr>
        <w:t xml:space="preserve">Jarðbik og jarðbiksbindiefni </w:t>
      </w:r>
      <w:r w:rsidR="00DD488B" w:rsidRPr="00D7390C">
        <w:rPr>
          <w:i/>
          <w:szCs w:val="22"/>
          <w:lang w:val="is-IS"/>
        </w:rPr>
        <w:t xml:space="preserve">– </w:t>
      </w:r>
      <w:r w:rsidR="00DD488B">
        <w:rPr>
          <w:i/>
          <w:szCs w:val="22"/>
          <w:lang w:val="is-IS"/>
        </w:rPr>
        <w:t xml:space="preserve">Eiginleikar jarðbiks til nota í slitlög. </w:t>
      </w:r>
      <w:r w:rsidR="00DD488B">
        <w:rPr>
          <w:szCs w:val="22"/>
          <w:lang w:val="is-IS"/>
        </w:rPr>
        <w:t>Staðlaráð Íslands, Reykjavík</w:t>
      </w:r>
      <w:r w:rsidR="00DD488B" w:rsidRPr="004052CF">
        <w:rPr>
          <w:szCs w:val="22"/>
          <w:lang w:val="is-IS"/>
        </w:rPr>
        <w:t>.</w:t>
      </w:r>
    </w:p>
    <w:p w14:paraId="33D07C20" w14:textId="77777777" w:rsidR="00DD488B" w:rsidRDefault="00DD488B" w:rsidP="00F01789">
      <w:pPr>
        <w:ind w:left="340" w:hanging="340"/>
        <w:jc w:val="both"/>
        <w:rPr>
          <w:szCs w:val="22"/>
          <w:lang w:val="is-IS"/>
        </w:rPr>
      </w:pPr>
      <w:r>
        <w:rPr>
          <w:szCs w:val="22"/>
          <w:lang w:val="is-IS"/>
        </w:rPr>
        <w:t xml:space="preserve">Shell Bitumen. 1990. </w:t>
      </w:r>
      <w:r w:rsidRPr="00053FEC">
        <w:rPr>
          <w:i/>
          <w:szCs w:val="22"/>
          <w:lang w:val="is-IS"/>
        </w:rPr>
        <w:t>The Shell Bitumen Handbook.</w:t>
      </w:r>
      <w:r>
        <w:rPr>
          <w:szCs w:val="22"/>
          <w:lang w:val="is-IS"/>
        </w:rPr>
        <w:t xml:space="preserve"> Shell Bitumen U.K. Chertsey.</w:t>
      </w:r>
    </w:p>
    <w:p w14:paraId="33D07C21" w14:textId="25B6EC5A" w:rsidR="00DD488B" w:rsidRPr="005148DC" w:rsidRDefault="00DD488B" w:rsidP="00F01789">
      <w:pPr>
        <w:ind w:left="342" w:hanging="342"/>
        <w:jc w:val="both"/>
        <w:rPr>
          <w:lang w:val="is-IS"/>
        </w:rPr>
      </w:pPr>
      <w:r>
        <w:rPr>
          <w:lang w:val="is-IS"/>
        </w:rPr>
        <w:t xml:space="preserve">Statens vegvesen. 2005. </w:t>
      </w:r>
      <w:r w:rsidRPr="006816BB">
        <w:rPr>
          <w:i/>
          <w:lang w:val="is-IS"/>
        </w:rPr>
        <w:t>ASFALT 2005 – materialer og utförelse.</w:t>
      </w:r>
      <w:r>
        <w:rPr>
          <w:i/>
          <w:lang w:val="is-IS"/>
        </w:rPr>
        <w:t xml:space="preserve"> </w:t>
      </w:r>
      <w:r>
        <w:rPr>
          <w:lang w:val="is-IS"/>
        </w:rPr>
        <w:t xml:space="preserve">Håndbok 246. Oslo. </w:t>
      </w:r>
    </w:p>
    <w:p w14:paraId="33D07C22" w14:textId="77777777" w:rsidR="00DD488B" w:rsidRDefault="00DD488B" w:rsidP="00F01789">
      <w:pPr>
        <w:ind w:left="342" w:hanging="342"/>
        <w:jc w:val="both"/>
        <w:rPr>
          <w:lang w:val="is-IS"/>
        </w:rPr>
      </w:pPr>
      <w:r>
        <w:rPr>
          <w:lang w:val="is-IS"/>
        </w:rPr>
        <w:t xml:space="preserve">The Asphalt Institute. 1979. </w:t>
      </w:r>
      <w:r w:rsidRPr="004B219C">
        <w:rPr>
          <w:i/>
          <w:lang w:val="is-IS"/>
        </w:rPr>
        <w:t>A Basic Asphalt Emulsion Manual.</w:t>
      </w:r>
      <w:r>
        <w:rPr>
          <w:lang w:val="is-IS"/>
        </w:rPr>
        <w:t xml:space="preserve"> Manual Series No 19 (MS-19). Maryland.</w:t>
      </w:r>
    </w:p>
    <w:p w14:paraId="33D07C23" w14:textId="77777777" w:rsidR="00DD488B" w:rsidRDefault="00DD488B" w:rsidP="00F01789">
      <w:pPr>
        <w:ind w:left="342" w:hanging="342"/>
        <w:jc w:val="both"/>
        <w:rPr>
          <w:lang w:val="is-IS"/>
        </w:rPr>
      </w:pPr>
      <w:r>
        <w:rPr>
          <w:lang w:val="is-IS"/>
        </w:rPr>
        <w:t xml:space="preserve">Wallace, Hugh A., Martin, J. Rogers. 1967. </w:t>
      </w:r>
      <w:r w:rsidRPr="00C275C7">
        <w:rPr>
          <w:i/>
          <w:lang w:val="is-IS"/>
        </w:rPr>
        <w:t>Asphalt Pavement Engineering.</w:t>
      </w:r>
      <w:r>
        <w:rPr>
          <w:lang w:val="is-IS"/>
        </w:rPr>
        <w:t xml:space="preserve"> McGraw-Hill Book Company, New York.</w:t>
      </w:r>
    </w:p>
    <w:p w14:paraId="33D07C24" w14:textId="77777777" w:rsidR="00DD488B" w:rsidRDefault="00DD488B" w:rsidP="00DD488B">
      <w:pPr>
        <w:rPr>
          <w:lang w:val="is-IS"/>
        </w:rPr>
      </w:pPr>
    </w:p>
    <w:p w14:paraId="33D07C25" w14:textId="77777777" w:rsidR="00DD488B" w:rsidRDefault="00DD488B" w:rsidP="00DD488B">
      <w:pPr>
        <w:rPr>
          <w:lang w:val="is-IS"/>
        </w:rPr>
      </w:pPr>
    </w:p>
    <w:p w14:paraId="33D07C26" w14:textId="77777777" w:rsidR="00DD488B" w:rsidRDefault="00DD488B" w:rsidP="00DD488B">
      <w:pPr>
        <w:rPr>
          <w:lang w:val="is-IS"/>
        </w:rPr>
      </w:pPr>
    </w:p>
    <w:p w14:paraId="33D07C33" w14:textId="77777777" w:rsidR="00DE5F27" w:rsidRPr="006868A9" w:rsidRDefault="00DE5F27" w:rsidP="006868A9">
      <w:pPr>
        <w:pStyle w:val="Heading1"/>
      </w:pPr>
      <w:bookmarkStart w:id="10" w:name="_Toc52974015"/>
      <w:r w:rsidRPr="006868A9">
        <w:t>VAL Á BINDIEFNI,</w:t>
      </w:r>
      <w:r w:rsidR="00EF52B1" w:rsidRPr="006868A9">
        <w:t xml:space="preserve"> </w:t>
      </w:r>
      <w:r w:rsidRPr="006868A9">
        <w:t>HART EÐA MJÚKT?</w:t>
      </w:r>
      <w:bookmarkEnd w:id="10"/>
    </w:p>
    <w:p w14:paraId="33D07C34" w14:textId="77777777" w:rsidR="00DE5F27" w:rsidRPr="0054726C" w:rsidRDefault="00DE5F27" w:rsidP="00DE5F27">
      <w:pPr>
        <w:jc w:val="center"/>
        <w:rPr>
          <w:b/>
          <w:sz w:val="24"/>
          <w:szCs w:val="24"/>
          <w:lang w:val="is-IS"/>
        </w:rPr>
      </w:pPr>
    </w:p>
    <w:p w14:paraId="33D07C35" w14:textId="08845137" w:rsidR="00DE5F27" w:rsidRDefault="00DE5F27" w:rsidP="00DE5F27">
      <w:pPr>
        <w:spacing w:after="120"/>
        <w:jc w:val="both"/>
        <w:rPr>
          <w:lang w:val="is-IS"/>
        </w:rPr>
      </w:pPr>
      <w:r>
        <w:rPr>
          <w:lang w:val="is-IS"/>
        </w:rPr>
        <w:t>Hérlendis hefur tíðkast að nota tvær bindiefnisgerðir, hart (</w:t>
      </w:r>
      <w:r w:rsidR="006A29E6">
        <w:rPr>
          <w:lang w:val="is-IS"/>
        </w:rPr>
        <w:t xml:space="preserve">stungudýpt PG </w:t>
      </w:r>
      <w:r>
        <w:rPr>
          <w:lang w:val="is-IS"/>
        </w:rPr>
        <w:t>70/100) og mjúkt (</w:t>
      </w:r>
      <w:r w:rsidR="006A29E6">
        <w:rPr>
          <w:lang w:val="is-IS"/>
        </w:rPr>
        <w:t xml:space="preserve">stungudýpt PG </w:t>
      </w:r>
      <w:r>
        <w:rPr>
          <w:lang w:val="is-IS"/>
        </w:rPr>
        <w:t>160/220). Fyrri gerðin er einkum notuð í malbik þar sem umferð er mikil og þung</w:t>
      </w:r>
      <w:r w:rsidR="007816E2">
        <w:rPr>
          <w:lang w:val="is-IS"/>
        </w:rPr>
        <w:t xml:space="preserve"> og hefur notkun þeirrar gerðar aukist með árunum með aukinni þungaumferð, t.d. á stofnvegum</w:t>
      </w:r>
      <w:r>
        <w:rPr>
          <w:lang w:val="is-IS"/>
        </w:rPr>
        <w:t>. Annars</w:t>
      </w:r>
      <w:r w:rsidR="00C4702C">
        <w:rPr>
          <w:lang w:val="is-IS"/>
        </w:rPr>
        <w:t xml:space="preserve"> </w:t>
      </w:r>
      <w:r>
        <w:rPr>
          <w:lang w:val="is-IS"/>
        </w:rPr>
        <w:t xml:space="preserve">staðar er síðarnefnda bindiefnisgerðin notuð </w:t>
      </w:r>
      <w:r w:rsidR="00BA1293">
        <w:rPr>
          <w:lang w:val="is-IS"/>
        </w:rPr>
        <w:t>og einnig</w:t>
      </w:r>
      <w:r>
        <w:rPr>
          <w:lang w:val="is-IS"/>
        </w:rPr>
        <w:t xml:space="preserve"> sem uppistaða í þunnbik fyrir klæðingar. Til tals hefur komið að tilgreina tvær aðrar bindiefnisgerðir í verklýsingum Vegagerðarinnar, mjög hart bindiefni (50/70) og millistig (100/150). Þessi pistill fjallar um kosti og galla sem slíkar breytingar myndu hafa í för með sér.</w:t>
      </w:r>
    </w:p>
    <w:p w14:paraId="33D07C36" w14:textId="77777777" w:rsidR="00DE5F27" w:rsidRDefault="00DE5F27" w:rsidP="00F423B4">
      <w:pPr>
        <w:numPr>
          <w:ilvl w:val="0"/>
          <w:numId w:val="2"/>
        </w:numPr>
        <w:tabs>
          <w:tab w:val="clear" w:pos="783"/>
          <w:tab w:val="num" w:pos="342"/>
        </w:tabs>
        <w:ind w:left="342"/>
        <w:jc w:val="both"/>
        <w:rPr>
          <w:lang w:val="is-IS"/>
        </w:rPr>
      </w:pPr>
      <w:r>
        <w:rPr>
          <w:lang w:val="is-IS"/>
        </w:rPr>
        <w:t>Eftir því sem bindiefni er harðara (stungudýpt bindiefnisins er minni) minnka líkur á skriði í malbiki í miklum hitum. Jafnframt aukast líkur á sprungum í malbikinu í miklu frosti. Val á bindiefni þarf þess vegna að taka mið af líklegu hámarks- og lágmarkshitastigi í malbikinu.</w:t>
      </w:r>
    </w:p>
    <w:p w14:paraId="33D07C37" w14:textId="074B01B6" w:rsidR="00DE5F27" w:rsidRDefault="00DE5F27" w:rsidP="00DE5F27">
      <w:pPr>
        <w:ind w:left="342" w:firstLine="342"/>
        <w:jc w:val="both"/>
        <w:rPr>
          <w:lang w:val="is-IS"/>
        </w:rPr>
      </w:pPr>
      <w:r>
        <w:rPr>
          <w:lang w:val="is-IS"/>
        </w:rPr>
        <w:t xml:space="preserve">Líkan Superpave [Asphalt Institute 2003, bls. 53] til að reikna út hitastig í slitlagi með hliðsjón af hnattstöðu og veðurfari gefur til kynna að í Reykjavík séu innan við 2% líkur á að hitastig í slitlagi fari niður fyrir -14°C eða upp fyrir 30°C [Ásbjörn Jóhannesson 2005, bls. 26]. Samsvarandi tölur fyrir Egilsstaði eru -21°C og 34°C. Þessar líkur eru miðaðar við eins árs tímabil. Rétt er að taka fram að Norðmenn hafa efasemdir um að reikniaðferð Superpave eigi við þar í landi og hafa sett fram reiknilíkan sem þeir telja réttara; taka þó fram að það sé ekki byggt á traustum grunni. Ef reiknilíkan Norðmanna er notað, hækka tölur fyrir hámarkshita í malbiki um 10°C eða þar um bil.  </w:t>
      </w:r>
    </w:p>
    <w:p w14:paraId="33D07C38" w14:textId="7228D854" w:rsidR="00DE5F27" w:rsidRDefault="00DE5F27" w:rsidP="00DE5F27">
      <w:pPr>
        <w:ind w:left="342" w:firstLine="342"/>
        <w:jc w:val="both"/>
        <w:rPr>
          <w:lang w:val="is-IS"/>
        </w:rPr>
      </w:pPr>
      <w:r>
        <w:rPr>
          <w:lang w:val="is-IS"/>
        </w:rPr>
        <w:t>Tvö íslensk sýni, annað af</w:t>
      </w:r>
      <w:r w:rsidR="007816E2">
        <w:rPr>
          <w:lang w:val="is-IS"/>
        </w:rPr>
        <w:t xml:space="preserve"> PG</w:t>
      </w:r>
      <w:r>
        <w:rPr>
          <w:lang w:val="is-IS"/>
        </w:rPr>
        <w:t xml:space="preserve"> 70/100 og hitt af </w:t>
      </w:r>
      <w:r w:rsidR="007816E2">
        <w:rPr>
          <w:lang w:val="is-IS"/>
        </w:rPr>
        <w:t xml:space="preserve">PG </w:t>
      </w:r>
      <w:r>
        <w:rPr>
          <w:lang w:val="is-IS"/>
        </w:rPr>
        <w:t>160/220</w:t>
      </w:r>
      <w:r w:rsidR="007816E2">
        <w:rPr>
          <w:lang w:val="is-IS"/>
        </w:rPr>
        <w:t xml:space="preserve"> biki</w:t>
      </w:r>
      <w:r>
        <w:rPr>
          <w:lang w:val="is-IS"/>
        </w:rPr>
        <w:t>, voru prófuð með aðferðum Superpave til að meta hvaða hitastig í slitlagi þau þola [Tayebali 2004]. Niðurstaðan varð sú að harðara bindiefnið (</w:t>
      </w:r>
      <w:r w:rsidR="007816E2">
        <w:rPr>
          <w:lang w:val="is-IS"/>
        </w:rPr>
        <w:t xml:space="preserve">PG </w:t>
      </w:r>
      <w:r>
        <w:rPr>
          <w:lang w:val="is-IS"/>
        </w:rPr>
        <w:t>70/100) hentar við aðstæður þar sem hitastig í slitlagi fer ekki niður fyrir -26°C og ekki upp fyrir 66°C. Samsvarandi tölur fyrir mýkra bindiefnið (160/220) eru -30°C og 58°C.</w:t>
      </w:r>
    </w:p>
    <w:p w14:paraId="33D07C39" w14:textId="2D47E860" w:rsidR="00DE5F27" w:rsidRDefault="00DE5F27" w:rsidP="00DE5F27">
      <w:pPr>
        <w:ind w:left="342" w:firstLine="342"/>
        <w:jc w:val="both"/>
        <w:rPr>
          <w:lang w:val="is-IS"/>
        </w:rPr>
      </w:pPr>
      <w:r>
        <w:rPr>
          <w:lang w:val="is-IS"/>
        </w:rPr>
        <w:t xml:space="preserve">Af þessum athugunum sýnist mega álykta að báðar bindiefnisgerðirnar uppfylli kröfur Superpave með tilliti </w:t>
      </w:r>
      <w:r w:rsidR="007816E2">
        <w:rPr>
          <w:lang w:val="is-IS"/>
        </w:rPr>
        <w:t xml:space="preserve">til </w:t>
      </w:r>
      <w:r>
        <w:rPr>
          <w:lang w:val="is-IS"/>
        </w:rPr>
        <w:t xml:space="preserve">veðurfars og séu meira að segja langt fyrir innan mörkin. Harðara bindiefnið þolir minnst 12°C meira frost en búast má við í slitlagi í Reykjavík. Og hvað hámarkshitastig í Reykjavík snertir er talsvert borð fyrir báru, jafnvel þótt norska reiknilíkanið sé lagt til grundvallar (minnst 18°C) og mýkra bindiefnið notað. Þó verður að hafa í huga að einungis tvö sýni verið prófuð með aðferðum Superpave og seigjueiginleikar bindiefnisins geta breyst þótt stungudýptin sé óbreytt [Asphalt Institute, bls. 14]. </w:t>
      </w:r>
    </w:p>
    <w:p w14:paraId="33D07C3A" w14:textId="77777777" w:rsidR="00DE5F27" w:rsidRDefault="00DE5F27" w:rsidP="00F423B4">
      <w:pPr>
        <w:numPr>
          <w:ilvl w:val="0"/>
          <w:numId w:val="2"/>
        </w:numPr>
        <w:tabs>
          <w:tab w:val="clear" w:pos="783"/>
          <w:tab w:val="num" w:pos="342"/>
        </w:tabs>
        <w:ind w:left="342"/>
        <w:jc w:val="both"/>
        <w:rPr>
          <w:lang w:val="is-IS"/>
        </w:rPr>
      </w:pPr>
      <w:r>
        <w:rPr>
          <w:lang w:val="is-IS"/>
        </w:rPr>
        <w:t>Enda þótt ofanskráðar bindiefnisgerðir (</w:t>
      </w:r>
      <w:r w:rsidR="007816E2">
        <w:rPr>
          <w:lang w:val="is-IS"/>
        </w:rPr>
        <w:t xml:space="preserve">PG </w:t>
      </w:r>
      <w:r>
        <w:rPr>
          <w:lang w:val="is-IS"/>
        </w:rPr>
        <w:t>70/100 og</w:t>
      </w:r>
      <w:r w:rsidR="007816E2">
        <w:rPr>
          <w:lang w:val="is-IS"/>
        </w:rPr>
        <w:t xml:space="preserve"> PG</w:t>
      </w:r>
      <w:r>
        <w:rPr>
          <w:lang w:val="is-IS"/>
        </w:rPr>
        <w:t xml:space="preserve"> 180/220) henti vel fyrir íslenskt veðurfar er ekki þar með sagt að skrið sé útilokað. Það verður að teljast ólíklegt að skrið byrji og hætti við ákveðin hitastigsmörk; líklegara er að skrið megi teljast óverulegt upp að hitastigsmarkinu sem reiknilíkan Superpave (eða Norðmanna) tiltekur. Þá vaknar spurningin; hversu mikið minnkar skrið við að nota </w:t>
      </w:r>
      <w:r w:rsidR="007816E2">
        <w:rPr>
          <w:lang w:val="is-IS"/>
        </w:rPr>
        <w:t xml:space="preserve">PG </w:t>
      </w:r>
      <w:r>
        <w:rPr>
          <w:lang w:val="is-IS"/>
        </w:rPr>
        <w:t xml:space="preserve">50/70 í stað </w:t>
      </w:r>
      <w:r w:rsidR="007816E2">
        <w:rPr>
          <w:lang w:val="is-IS"/>
        </w:rPr>
        <w:t xml:space="preserve">PG </w:t>
      </w:r>
      <w:r>
        <w:rPr>
          <w:lang w:val="is-IS"/>
        </w:rPr>
        <w:t>70/100 eða</w:t>
      </w:r>
      <w:r w:rsidR="007816E2">
        <w:rPr>
          <w:lang w:val="is-IS"/>
        </w:rPr>
        <w:t xml:space="preserve"> PG</w:t>
      </w:r>
      <w:r>
        <w:rPr>
          <w:lang w:val="is-IS"/>
        </w:rPr>
        <w:t xml:space="preserve"> 100/150 í stað</w:t>
      </w:r>
      <w:r w:rsidR="007816E2">
        <w:rPr>
          <w:lang w:val="is-IS"/>
        </w:rPr>
        <w:t xml:space="preserve"> PG</w:t>
      </w:r>
      <w:r>
        <w:rPr>
          <w:lang w:val="is-IS"/>
        </w:rPr>
        <w:t xml:space="preserve"> 180/220</w:t>
      </w:r>
      <w:r w:rsidR="007816E2">
        <w:rPr>
          <w:lang w:val="is-IS"/>
        </w:rPr>
        <w:t xml:space="preserve"> biks</w:t>
      </w:r>
      <w:r>
        <w:rPr>
          <w:lang w:val="is-IS"/>
        </w:rPr>
        <w:t xml:space="preserve">?  </w:t>
      </w:r>
    </w:p>
    <w:p w14:paraId="33D07C3B" w14:textId="3614C74E" w:rsidR="00DE5F27" w:rsidRDefault="00DE5F27" w:rsidP="00DE5F27">
      <w:pPr>
        <w:ind w:left="342" w:firstLine="342"/>
        <w:jc w:val="both"/>
        <w:rPr>
          <w:lang w:val="is-IS"/>
        </w:rPr>
      </w:pPr>
      <w:r>
        <w:rPr>
          <w:lang w:val="is-IS"/>
        </w:rPr>
        <w:t xml:space="preserve">Ef stífni </w:t>
      </w:r>
      <w:r w:rsidR="003A7F1F">
        <w:rPr>
          <w:lang w:val="is-IS"/>
        </w:rPr>
        <w:t xml:space="preserve">(e. stiffness) </w:t>
      </w:r>
      <w:r>
        <w:rPr>
          <w:lang w:val="is-IS"/>
        </w:rPr>
        <w:t xml:space="preserve">tveggja eða fleiri bindiefnisgerða er þekkt er hægt að spá um hlutfallslegt skrið í malbiki sem er gert úr þessum bindiefnum, að því tilskildu að malbiksblöndurnar séu eins að öðru leyti [Shell, bls. 105]. Ef stífnin er ekki þekkt má í staðinn nota seigju </w:t>
      </w:r>
      <w:r w:rsidR="003A7F1F">
        <w:rPr>
          <w:lang w:val="is-IS"/>
        </w:rPr>
        <w:t xml:space="preserve">(e. viscosity) </w:t>
      </w:r>
      <w:r>
        <w:rPr>
          <w:lang w:val="is-IS"/>
        </w:rPr>
        <w:t>bindiefnisins eða PI</w:t>
      </w:r>
      <w:r w:rsidR="003A7F1F">
        <w:rPr>
          <w:lang w:val="is-IS"/>
        </w:rPr>
        <w:t xml:space="preserve"> (e. penetration index)</w:t>
      </w:r>
      <w:r>
        <w:rPr>
          <w:lang w:val="is-IS"/>
        </w:rPr>
        <w:t xml:space="preserve">. Ef þessari samanburðaraðferð er beitt á </w:t>
      </w:r>
      <w:r w:rsidR="003A7F1F">
        <w:rPr>
          <w:lang w:val="is-IS"/>
        </w:rPr>
        <w:t xml:space="preserve">bikgerðirnar PG </w:t>
      </w:r>
      <w:r>
        <w:rPr>
          <w:lang w:val="is-IS"/>
        </w:rPr>
        <w:t xml:space="preserve">50/70, 70/100, 100/150 og 160/220 og gert ráð fyrir að hitastig í slitlagi sé 30°C kemur í ljós að skrið minnkar um nálega: </w:t>
      </w:r>
    </w:p>
    <w:p w14:paraId="33D07C3C" w14:textId="562EDA7E" w:rsidR="00DE5F27" w:rsidRDefault="00DE5F27" w:rsidP="00DE5F27">
      <w:pPr>
        <w:tabs>
          <w:tab w:val="left" w:pos="1368"/>
        </w:tabs>
        <w:ind w:left="342" w:firstLine="342"/>
        <w:jc w:val="both"/>
        <w:rPr>
          <w:lang w:val="is-IS"/>
        </w:rPr>
      </w:pPr>
      <w:r>
        <w:rPr>
          <w:lang w:val="is-IS"/>
        </w:rPr>
        <w:tab/>
        <w:t>- 15% ef 100/150 er notað í stað 160/220</w:t>
      </w:r>
    </w:p>
    <w:p w14:paraId="33D07C3D" w14:textId="5E8107D6" w:rsidR="00DE5F27" w:rsidRDefault="00DE5F27" w:rsidP="00DE5F27">
      <w:pPr>
        <w:tabs>
          <w:tab w:val="left" w:pos="1368"/>
        </w:tabs>
        <w:ind w:left="342" w:firstLine="342"/>
        <w:jc w:val="both"/>
        <w:rPr>
          <w:lang w:val="is-IS"/>
        </w:rPr>
      </w:pPr>
      <w:r>
        <w:rPr>
          <w:lang w:val="is-IS"/>
        </w:rPr>
        <w:tab/>
        <w:t>- 30% ef 70/100 er notað í stað 160/220</w:t>
      </w:r>
    </w:p>
    <w:p w14:paraId="33D07C3E" w14:textId="17168472" w:rsidR="00DE5F27" w:rsidRDefault="00DE5F27" w:rsidP="00DE5F27">
      <w:pPr>
        <w:tabs>
          <w:tab w:val="left" w:pos="1368"/>
        </w:tabs>
        <w:spacing w:after="120"/>
        <w:ind w:left="340" w:firstLine="340"/>
        <w:jc w:val="both"/>
        <w:rPr>
          <w:lang w:val="is-IS"/>
        </w:rPr>
      </w:pPr>
      <w:r>
        <w:rPr>
          <w:lang w:val="is-IS"/>
        </w:rPr>
        <w:tab/>
        <w:t>- 35% ef 50/70 er notað í stað 70/100</w:t>
      </w:r>
    </w:p>
    <w:p w14:paraId="33D07C3F" w14:textId="1F112EA3" w:rsidR="00DE5F27" w:rsidRDefault="00DE5F27" w:rsidP="00DE5F27">
      <w:pPr>
        <w:tabs>
          <w:tab w:val="left" w:pos="1368"/>
        </w:tabs>
        <w:ind w:left="342"/>
        <w:jc w:val="both"/>
        <w:rPr>
          <w:lang w:val="is-IS"/>
        </w:rPr>
      </w:pPr>
      <w:r>
        <w:rPr>
          <w:lang w:val="is-IS"/>
        </w:rPr>
        <w:t>Sams konar útreikningar sýna að hlutfallslegur ávinningur af harðara bindiefni minnkar eftir því sem hitastigið eykst. Svo dæmi sé tekið minnkar skrið aðeins um 20% ef hitastig í slitlagi er 60</w:t>
      </w:r>
      <w:r w:rsidR="00BA1293">
        <w:rPr>
          <w:lang w:val="is-IS"/>
        </w:rPr>
        <w:t>°</w:t>
      </w:r>
      <w:r>
        <w:rPr>
          <w:lang w:val="is-IS"/>
        </w:rPr>
        <w:t xml:space="preserve">C og 70/100 er notað í stað 160/220. </w:t>
      </w:r>
    </w:p>
    <w:p w14:paraId="33D07C40" w14:textId="1333D98E" w:rsidR="00DE5F27" w:rsidRDefault="00DE5F27" w:rsidP="00F423B4">
      <w:pPr>
        <w:numPr>
          <w:ilvl w:val="0"/>
          <w:numId w:val="2"/>
        </w:numPr>
        <w:tabs>
          <w:tab w:val="clear" w:pos="783"/>
          <w:tab w:val="num" w:pos="342"/>
        </w:tabs>
        <w:ind w:left="342"/>
        <w:jc w:val="both"/>
        <w:rPr>
          <w:lang w:val="is-IS"/>
        </w:rPr>
      </w:pPr>
      <w:r>
        <w:rPr>
          <w:lang w:val="is-IS"/>
        </w:rPr>
        <w:lastRenderedPageBreak/>
        <w:t xml:space="preserve">Stungudýpt </w:t>
      </w:r>
      <w:r w:rsidR="00BC46BA">
        <w:rPr>
          <w:lang w:val="is-IS"/>
        </w:rPr>
        <w:t xml:space="preserve">bindiefnis </w:t>
      </w:r>
      <w:r>
        <w:rPr>
          <w:lang w:val="is-IS"/>
        </w:rPr>
        <w:t>ein sér er ekki sérlega heppilegur stiki til að spá um skrið [Shell, bls. 107], fylgni milli stungudýptar og festu í Marshallprófi er lítil, sömuleiðis milli stungudýptar og hjólfaraprófs</w:t>
      </w:r>
      <w:r w:rsidR="003A7F1F">
        <w:rPr>
          <w:lang w:val="is-IS"/>
        </w:rPr>
        <w:t xml:space="preserve"> (e. wheel tracking test), e</w:t>
      </w:r>
      <w:r>
        <w:rPr>
          <w:lang w:val="is-IS"/>
        </w:rPr>
        <w:t>nda nægir stungudýpt ekki til að lýsa eiginleikum bindiefnis nema að takmörkuðu leyti</w:t>
      </w:r>
      <w:r w:rsidR="003A7F1F">
        <w:rPr>
          <w:lang w:val="is-IS"/>
        </w:rPr>
        <w:t>.T</w:t>
      </w:r>
      <w:r>
        <w:rPr>
          <w:lang w:val="is-IS"/>
        </w:rPr>
        <w:t xml:space="preserve">vö bindiefni geta sýnt ólíka hegðun við sama hitastig, þótt þau tilheyri sama stungudýptarflokki [Asphalt Institute, bls. 13]. Mýkingarmark </w:t>
      </w:r>
      <w:r w:rsidR="003A7F1F">
        <w:rPr>
          <w:lang w:val="is-IS"/>
        </w:rPr>
        <w:t xml:space="preserve">(e. softening point) </w:t>
      </w:r>
      <w:r>
        <w:rPr>
          <w:lang w:val="is-IS"/>
        </w:rPr>
        <w:t xml:space="preserve">sýnist á hinn bóginn vera nothæfur stiki til að spá um skrið [Shell, bls. 107], </w:t>
      </w:r>
      <w:r w:rsidR="003A7F1F">
        <w:rPr>
          <w:lang w:val="is-IS"/>
        </w:rPr>
        <w:t xml:space="preserve">en </w:t>
      </w:r>
      <w:r>
        <w:rPr>
          <w:lang w:val="is-IS"/>
        </w:rPr>
        <w:t xml:space="preserve">fylgni festu í Marshallprófi og </w:t>
      </w:r>
      <w:r w:rsidR="003A7F1F">
        <w:rPr>
          <w:lang w:val="is-IS"/>
        </w:rPr>
        <w:t xml:space="preserve">í </w:t>
      </w:r>
      <w:r>
        <w:rPr>
          <w:lang w:val="is-IS"/>
        </w:rPr>
        <w:t xml:space="preserve">hjólfaraprófi við mýkingarmark er sterk. Þó verður að taka fram sambandið, sem vísað er til í ofangreindri heimild, takmarkast við mýkingarmark á bilinu 45-65°C (ívið hærra en mýkingarmark í bindiefni sem tíðkast að nota hérlendis). Í sænskri heimild </w:t>
      </w:r>
      <w:r w:rsidR="003E6693">
        <w:rPr>
          <w:lang w:val="is-IS"/>
        </w:rPr>
        <w:t>[</w:t>
      </w:r>
      <w:r>
        <w:rPr>
          <w:lang w:val="is-IS"/>
        </w:rPr>
        <w:t>Hilliges, bls. 149</w:t>
      </w:r>
      <w:r w:rsidR="003E6693">
        <w:rPr>
          <w:lang w:val="is-IS"/>
        </w:rPr>
        <w:t>]</w:t>
      </w:r>
      <w:r>
        <w:rPr>
          <w:lang w:val="is-IS"/>
        </w:rPr>
        <w:t xml:space="preserve"> er ráðlagt að velja bindiefnið þannig að mýkingarmark þess sé álíka hátt og hæsta hitastig sem vænta má í slitlaginu. Mýkingarmark </w:t>
      </w:r>
      <w:r w:rsidR="00B303B7">
        <w:rPr>
          <w:lang w:val="is-IS"/>
        </w:rPr>
        <w:t xml:space="preserve">PG </w:t>
      </w:r>
      <w:r>
        <w:rPr>
          <w:lang w:val="is-IS"/>
        </w:rPr>
        <w:t xml:space="preserve">70/100 </w:t>
      </w:r>
      <w:r w:rsidR="00B303B7">
        <w:rPr>
          <w:lang w:val="is-IS"/>
        </w:rPr>
        <w:t xml:space="preserve">biks </w:t>
      </w:r>
      <w:r>
        <w:rPr>
          <w:lang w:val="is-IS"/>
        </w:rPr>
        <w:t>er</w:t>
      </w:r>
      <w:r w:rsidR="00B303B7">
        <w:rPr>
          <w:lang w:val="is-IS"/>
        </w:rPr>
        <w:t xml:space="preserve"> í</w:t>
      </w:r>
      <w:r>
        <w:rPr>
          <w:lang w:val="is-IS"/>
        </w:rPr>
        <w:t xml:space="preserve"> kringum 45°C og mýkingarmark </w:t>
      </w:r>
      <w:r w:rsidR="00B303B7">
        <w:rPr>
          <w:lang w:val="is-IS"/>
        </w:rPr>
        <w:t xml:space="preserve">PG </w:t>
      </w:r>
      <w:r>
        <w:rPr>
          <w:lang w:val="is-IS"/>
        </w:rPr>
        <w:t>160/220</w:t>
      </w:r>
      <w:r w:rsidR="00B303B7">
        <w:rPr>
          <w:lang w:val="is-IS"/>
        </w:rPr>
        <w:t xml:space="preserve"> biks</w:t>
      </w:r>
      <w:r>
        <w:rPr>
          <w:lang w:val="is-IS"/>
        </w:rPr>
        <w:t xml:space="preserve"> í kringum 35°C. Báðar bindiefnisgerðirnar ættu því að vera nægilega stífar fyrir íslenskt veðurfar, ef miðað er við aðferðir Superpave til að reikna hámarkshitastig í slitlagi. Sé hins vegar miðað við reiknilíkan Norðmanna er</w:t>
      </w:r>
      <w:r w:rsidR="00B303B7">
        <w:rPr>
          <w:lang w:val="is-IS"/>
        </w:rPr>
        <w:t xml:space="preserve"> PG</w:t>
      </w:r>
      <w:r>
        <w:rPr>
          <w:lang w:val="is-IS"/>
        </w:rPr>
        <w:t xml:space="preserve"> 160/220</w:t>
      </w:r>
      <w:r w:rsidR="00B303B7">
        <w:rPr>
          <w:lang w:val="is-IS"/>
        </w:rPr>
        <w:t xml:space="preserve"> bik</w:t>
      </w:r>
      <w:r>
        <w:rPr>
          <w:lang w:val="is-IS"/>
        </w:rPr>
        <w:t xml:space="preserve"> tæplega nógu stíft.</w:t>
      </w:r>
    </w:p>
    <w:p w14:paraId="33D07C41" w14:textId="77777777" w:rsidR="00DE5F27" w:rsidRDefault="00DE5F27" w:rsidP="00F423B4">
      <w:pPr>
        <w:numPr>
          <w:ilvl w:val="0"/>
          <w:numId w:val="2"/>
        </w:numPr>
        <w:tabs>
          <w:tab w:val="clear" w:pos="783"/>
          <w:tab w:val="num" w:pos="342"/>
        </w:tabs>
        <w:ind w:left="342"/>
        <w:jc w:val="both"/>
        <w:rPr>
          <w:lang w:val="is-IS"/>
        </w:rPr>
      </w:pPr>
      <w:r>
        <w:rPr>
          <w:lang w:val="is-IS"/>
        </w:rPr>
        <w:t>Í undantekningartilfellum getur verið þörf á að nota mjög hart bindiefni, t.d. í malbik á hafnarsvæði, á geymsluplön fyrir gáma og aðra þungavöru, á stæði fyrir þunga bíla og hugsanlega í stórum vöruskemmum.</w:t>
      </w:r>
    </w:p>
    <w:p w14:paraId="33D07C42" w14:textId="4724CBF4" w:rsidR="00DE5F27" w:rsidRPr="00E06789" w:rsidRDefault="00DE5F27" w:rsidP="000E56CF">
      <w:pPr>
        <w:numPr>
          <w:ilvl w:val="0"/>
          <w:numId w:val="2"/>
        </w:numPr>
        <w:tabs>
          <w:tab w:val="clear" w:pos="783"/>
          <w:tab w:val="num" w:pos="342"/>
        </w:tabs>
        <w:ind w:left="342"/>
        <w:jc w:val="both"/>
        <w:rPr>
          <w:lang w:val="is-IS"/>
        </w:rPr>
      </w:pPr>
      <w:r>
        <w:rPr>
          <w:lang w:val="is-IS"/>
        </w:rPr>
        <w:t xml:space="preserve">Harðara bindiefni gerir kröfur til hærra hitastigs við blöndun, útlögn og völtun. Sem dæmi má nefna að hitastig malbiks við blöndun og útlögn þarf að hækka um 10°C ef skipt er úr </w:t>
      </w:r>
      <w:r w:rsidR="00B303B7">
        <w:rPr>
          <w:lang w:val="is-IS"/>
        </w:rPr>
        <w:t>PG</w:t>
      </w:r>
      <w:r>
        <w:rPr>
          <w:lang w:val="is-IS"/>
        </w:rPr>
        <w:t>160/220</w:t>
      </w:r>
      <w:r w:rsidR="00B303B7">
        <w:rPr>
          <w:lang w:val="is-IS"/>
        </w:rPr>
        <w:t xml:space="preserve"> biki</w:t>
      </w:r>
      <w:r>
        <w:rPr>
          <w:lang w:val="is-IS"/>
        </w:rPr>
        <w:t xml:space="preserve"> í </w:t>
      </w:r>
      <w:r w:rsidR="00B303B7">
        <w:rPr>
          <w:lang w:val="is-IS"/>
        </w:rPr>
        <w:t xml:space="preserve">PG </w:t>
      </w:r>
      <w:r>
        <w:rPr>
          <w:lang w:val="is-IS"/>
        </w:rPr>
        <w:t>70/100</w:t>
      </w:r>
      <w:r w:rsidR="00B303B7">
        <w:rPr>
          <w:lang w:val="is-IS"/>
        </w:rPr>
        <w:t xml:space="preserve"> bik</w:t>
      </w:r>
      <w:r>
        <w:rPr>
          <w:lang w:val="is-IS"/>
        </w:rPr>
        <w:t xml:space="preserve"> eða </w:t>
      </w:r>
      <w:r w:rsidR="00BC46BA">
        <w:rPr>
          <w:lang w:val="is-IS"/>
        </w:rPr>
        <w:t xml:space="preserve">úr </w:t>
      </w:r>
      <w:r w:rsidR="00B303B7">
        <w:rPr>
          <w:lang w:val="is-IS"/>
        </w:rPr>
        <w:t xml:space="preserve">PG </w:t>
      </w:r>
      <w:r>
        <w:rPr>
          <w:lang w:val="is-IS"/>
        </w:rPr>
        <w:t>70/100</w:t>
      </w:r>
      <w:r w:rsidR="00B303B7">
        <w:rPr>
          <w:lang w:val="is-IS"/>
        </w:rPr>
        <w:t xml:space="preserve"> biki</w:t>
      </w:r>
      <w:r>
        <w:rPr>
          <w:lang w:val="is-IS"/>
        </w:rPr>
        <w:t xml:space="preserve"> í </w:t>
      </w:r>
      <w:r w:rsidR="00B303B7">
        <w:rPr>
          <w:lang w:val="is-IS"/>
        </w:rPr>
        <w:t xml:space="preserve">PG </w:t>
      </w:r>
      <w:r>
        <w:rPr>
          <w:lang w:val="is-IS"/>
        </w:rPr>
        <w:t>50/70</w:t>
      </w:r>
      <w:r w:rsidR="00B303B7">
        <w:rPr>
          <w:lang w:val="is-IS"/>
        </w:rPr>
        <w:t xml:space="preserve"> bik</w:t>
      </w:r>
      <w:r>
        <w:rPr>
          <w:lang w:val="is-IS"/>
        </w:rPr>
        <w:t xml:space="preserve">. Malbik kólnar hratt í úrkomu og vindi, því hraðar sem hitamismunur malbiks og umhverfis er </w:t>
      </w:r>
      <w:r w:rsidRPr="00E06789">
        <w:rPr>
          <w:lang w:val="is-IS"/>
        </w:rPr>
        <w:t>meiri og malbik sem hefur kólnað um of áður en það er fullþjappað er líklegra en ella til að skemmast. Þess vegna er áhættusamara að leggja malbik úr hörðu bindiefni en mjúku, sérstaklega snemma að vori eða seint að hausti, vegna hættu á ótímabærum skemmdum</w:t>
      </w:r>
      <w:r w:rsidR="000E56CF" w:rsidRPr="00E06789">
        <w:rPr>
          <w:lang w:val="is-IS"/>
        </w:rPr>
        <w:t>, ef til</w:t>
      </w:r>
      <w:r w:rsidR="008C767D" w:rsidRPr="00E06789">
        <w:rPr>
          <w:lang w:val="is-IS"/>
        </w:rPr>
        <w:t>skilinni þjöppun er ekki náð</w:t>
      </w:r>
      <w:r w:rsidRPr="00E06789">
        <w:rPr>
          <w:lang w:val="is-IS"/>
        </w:rPr>
        <w:t xml:space="preserve">. </w:t>
      </w:r>
      <w:r w:rsidR="00E06789" w:rsidRPr="00E06789">
        <w:rPr>
          <w:lang w:val="is-IS"/>
        </w:rPr>
        <w:t>Við þessar aðstæður þarf að gæta vel að því að hitastig malbiksins sé nægilega hátt.</w:t>
      </w:r>
    </w:p>
    <w:p w14:paraId="33D07C43" w14:textId="77777777" w:rsidR="00DE5F27" w:rsidRDefault="00DE5F27" w:rsidP="00F423B4">
      <w:pPr>
        <w:numPr>
          <w:ilvl w:val="0"/>
          <w:numId w:val="2"/>
        </w:numPr>
        <w:tabs>
          <w:tab w:val="clear" w:pos="783"/>
          <w:tab w:val="num" w:pos="342"/>
        </w:tabs>
        <w:ind w:left="340" w:hanging="357"/>
        <w:jc w:val="both"/>
        <w:rPr>
          <w:lang w:val="is-IS"/>
        </w:rPr>
      </w:pPr>
      <w:r w:rsidRPr="00E06789">
        <w:rPr>
          <w:lang w:val="is-IS"/>
        </w:rPr>
        <w:t>Einnig er rétt að minna á að eiginleikar malbiks eru ekkert síður undir samsetningu þess</w:t>
      </w:r>
      <w:r>
        <w:rPr>
          <w:lang w:val="is-IS"/>
        </w:rPr>
        <w:t xml:space="preserve"> komnir en stungudýpt bindiefnisins.</w:t>
      </w:r>
    </w:p>
    <w:p w14:paraId="33D07C44" w14:textId="77777777" w:rsidR="00DE5F27" w:rsidRDefault="00DE5F27" w:rsidP="00F423B4">
      <w:pPr>
        <w:numPr>
          <w:ilvl w:val="0"/>
          <w:numId w:val="2"/>
        </w:numPr>
        <w:tabs>
          <w:tab w:val="clear" w:pos="783"/>
          <w:tab w:val="num" w:pos="342"/>
        </w:tabs>
        <w:spacing w:after="120"/>
        <w:ind w:left="340" w:hanging="357"/>
        <w:jc w:val="both"/>
        <w:rPr>
          <w:lang w:val="is-IS"/>
        </w:rPr>
      </w:pPr>
      <w:r>
        <w:rPr>
          <w:lang w:val="is-IS"/>
        </w:rPr>
        <w:t xml:space="preserve">Í klæðingar hefur tíðkast að nota </w:t>
      </w:r>
      <w:r w:rsidR="00B303B7">
        <w:rPr>
          <w:lang w:val="is-IS"/>
        </w:rPr>
        <w:t xml:space="preserve">PG </w:t>
      </w:r>
      <w:r>
        <w:rPr>
          <w:lang w:val="is-IS"/>
        </w:rPr>
        <w:t>160/220</w:t>
      </w:r>
      <w:r w:rsidR="00B303B7">
        <w:rPr>
          <w:lang w:val="is-IS"/>
        </w:rPr>
        <w:t xml:space="preserve"> bik</w:t>
      </w:r>
      <w:r>
        <w:rPr>
          <w:lang w:val="is-IS"/>
        </w:rPr>
        <w:t xml:space="preserve"> blandað </w:t>
      </w:r>
      <w:r w:rsidR="00B303B7">
        <w:rPr>
          <w:lang w:val="is-IS"/>
        </w:rPr>
        <w:t xml:space="preserve">lífolíu, </w:t>
      </w:r>
      <w:r>
        <w:rPr>
          <w:lang w:val="is-IS"/>
        </w:rPr>
        <w:t>þynni</w:t>
      </w:r>
      <w:r w:rsidR="00B303B7">
        <w:rPr>
          <w:lang w:val="is-IS"/>
        </w:rPr>
        <w:t xml:space="preserve"> eða vatni (bikþeytu)</w:t>
      </w:r>
      <w:r>
        <w:rPr>
          <w:lang w:val="is-IS"/>
        </w:rPr>
        <w:t xml:space="preserve">. Harðara bindiefni myndi sennilega draga úr blæðingum. Á hinn bóginn er það líklegt til að auka hættu á sprungum í klæðingunum ef undirbyggingin er á hreyfingu, t.d. vegna frostlyftinga eða sigs. Burðarþol klæðingarinnar myndi heldur ekki aukast sem neinu nemur vegna þess hve klæðingarslitlög eru þunn.  </w:t>
      </w:r>
    </w:p>
    <w:p w14:paraId="33D07C45" w14:textId="70AD4212" w:rsidR="00DE5F27" w:rsidRPr="00532CFF" w:rsidRDefault="00DE5F27" w:rsidP="00DE5F27">
      <w:pPr>
        <w:jc w:val="both"/>
        <w:rPr>
          <w:lang w:val="is-IS"/>
        </w:rPr>
      </w:pPr>
      <w:r w:rsidRPr="00532CFF">
        <w:rPr>
          <w:lang w:val="is-IS"/>
        </w:rPr>
        <w:t>Sé bindiefni valið á grundvelli mýkingarmarks</w:t>
      </w:r>
      <w:r>
        <w:rPr>
          <w:lang w:val="is-IS"/>
        </w:rPr>
        <w:t>,</w:t>
      </w:r>
      <w:r w:rsidRPr="00532CFF">
        <w:rPr>
          <w:lang w:val="is-IS"/>
        </w:rPr>
        <w:t xml:space="preserve"> er </w:t>
      </w:r>
      <w:r w:rsidR="007B113D">
        <w:rPr>
          <w:lang w:val="is-IS"/>
        </w:rPr>
        <w:t xml:space="preserve">PG </w:t>
      </w:r>
      <w:r w:rsidRPr="00532CFF">
        <w:rPr>
          <w:lang w:val="is-IS"/>
        </w:rPr>
        <w:t>160/220</w:t>
      </w:r>
      <w:r w:rsidR="007B113D">
        <w:rPr>
          <w:lang w:val="is-IS"/>
        </w:rPr>
        <w:t xml:space="preserve"> bik</w:t>
      </w:r>
      <w:r w:rsidRPr="00532CFF">
        <w:rPr>
          <w:lang w:val="is-IS"/>
        </w:rPr>
        <w:t xml:space="preserve"> nægilega stíft fyrir íslenskar aðstæður </w:t>
      </w:r>
      <w:r>
        <w:rPr>
          <w:lang w:val="is-IS"/>
        </w:rPr>
        <w:t>svo fremi</w:t>
      </w:r>
      <w:r w:rsidRPr="00532CFF">
        <w:rPr>
          <w:lang w:val="is-IS"/>
        </w:rPr>
        <w:t xml:space="preserve"> </w:t>
      </w:r>
      <w:r>
        <w:rPr>
          <w:lang w:val="is-IS"/>
        </w:rPr>
        <w:t>reiknireglur</w:t>
      </w:r>
      <w:r w:rsidRPr="00532CFF">
        <w:rPr>
          <w:lang w:val="is-IS"/>
        </w:rPr>
        <w:t xml:space="preserve"> Superpave fyrir hámarkshitastig í slitlagi séu réttar</w:t>
      </w:r>
      <w:r w:rsidR="007B113D">
        <w:rPr>
          <w:lang w:val="is-IS"/>
        </w:rPr>
        <w:t xml:space="preserve"> og þungaumferð að sumri til er ekki mikil</w:t>
      </w:r>
      <w:r w:rsidRPr="00532CFF">
        <w:rPr>
          <w:lang w:val="is-IS"/>
        </w:rPr>
        <w:t xml:space="preserve">. </w:t>
      </w:r>
      <w:r>
        <w:rPr>
          <w:lang w:val="is-IS"/>
        </w:rPr>
        <w:t>E</w:t>
      </w:r>
      <w:r w:rsidRPr="00532CFF">
        <w:rPr>
          <w:lang w:val="is-IS"/>
        </w:rPr>
        <w:t xml:space="preserve">f bindiefni er valið á forsendum mýkingarmarks </w:t>
      </w:r>
      <w:r>
        <w:rPr>
          <w:lang w:val="is-IS"/>
        </w:rPr>
        <w:t xml:space="preserve">og </w:t>
      </w:r>
      <w:r w:rsidRPr="00532CFF">
        <w:rPr>
          <w:lang w:val="is-IS"/>
        </w:rPr>
        <w:t xml:space="preserve">norska reiknilíkaninu er beitt (sem áætlar hámarkshitastig í slitlagi um 10°C hærra en reiknilíkan Superpave) er </w:t>
      </w:r>
      <w:r w:rsidR="007B113D">
        <w:rPr>
          <w:lang w:val="is-IS"/>
        </w:rPr>
        <w:t xml:space="preserve">PG </w:t>
      </w:r>
      <w:r w:rsidRPr="00532CFF">
        <w:rPr>
          <w:lang w:val="is-IS"/>
        </w:rPr>
        <w:t>160/220</w:t>
      </w:r>
      <w:r w:rsidR="007B113D">
        <w:rPr>
          <w:lang w:val="is-IS"/>
        </w:rPr>
        <w:t xml:space="preserve"> bik</w:t>
      </w:r>
      <w:r w:rsidRPr="00532CFF">
        <w:rPr>
          <w:lang w:val="is-IS"/>
        </w:rPr>
        <w:t xml:space="preserve"> þó í mýksta lagi. Hins vegar verður ekki séð af ofanskráðu að þörf sé á harðara bindiefni </w:t>
      </w:r>
      <w:r>
        <w:rPr>
          <w:lang w:val="is-IS"/>
        </w:rPr>
        <w:t xml:space="preserve">í malbik </w:t>
      </w:r>
      <w:r w:rsidRPr="00532CFF">
        <w:rPr>
          <w:lang w:val="is-IS"/>
        </w:rPr>
        <w:t xml:space="preserve">en </w:t>
      </w:r>
      <w:r w:rsidR="007B113D">
        <w:rPr>
          <w:lang w:val="is-IS"/>
        </w:rPr>
        <w:t xml:space="preserve">PG </w:t>
      </w:r>
      <w:r w:rsidRPr="00532CFF">
        <w:rPr>
          <w:lang w:val="is-IS"/>
        </w:rPr>
        <w:t>70/100</w:t>
      </w:r>
      <w:r w:rsidR="007B113D">
        <w:rPr>
          <w:lang w:val="is-IS"/>
        </w:rPr>
        <w:t xml:space="preserve"> bik</w:t>
      </w:r>
      <w:r>
        <w:rPr>
          <w:lang w:val="is-IS"/>
        </w:rPr>
        <w:t xml:space="preserve"> nema í undantekningartilfellum, svo sem eins og á hafnarsvæðum, í vörugeymslum eða á stæðum fyrir gáma eða þunga bíla</w:t>
      </w:r>
      <w:r w:rsidRPr="00532CFF">
        <w:rPr>
          <w:lang w:val="is-IS"/>
        </w:rPr>
        <w:t>.</w:t>
      </w:r>
      <w:r>
        <w:rPr>
          <w:lang w:val="is-IS"/>
        </w:rPr>
        <w:t xml:space="preserve"> Hvað klæðingar snertir er hugsanlega hægt að draga eitthvað úr blæðingum með því að nota harðara bindiefni sem uppistöðu, en hart bindiefni gerir meiri kröfur til undirbyggingar en</w:t>
      </w:r>
      <w:r w:rsidRPr="00532CFF">
        <w:rPr>
          <w:lang w:val="is-IS"/>
        </w:rPr>
        <w:t xml:space="preserve"> </w:t>
      </w:r>
      <w:r>
        <w:rPr>
          <w:lang w:val="is-IS"/>
        </w:rPr>
        <w:t>mjúkt.</w:t>
      </w:r>
    </w:p>
    <w:p w14:paraId="33D07C46" w14:textId="77777777" w:rsidR="00DE5F27" w:rsidRDefault="00DE5F27" w:rsidP="00DE5F27">
      <w:pPr>
        <w:jc w:val="both"/>
        <w:rPr>
          <w:lang w:val="is-IS"/>
        </w:rPr>
      </w:pPr>
    </w:p>
    <w:p w14:paraId="33D07C47" w14:textId="77777777" w:rsidR="00E74691" w:rsidRPr="00A64EF2" w:rsidRDefault="00E74691" w:rsidP="00E74691">
      <w:pPr>
        <w:ind w:firstLine="340"/>
        <w:jc w:val="both"/>
        <w:rPr>
          <w:b/>
          <w:color w:val="FF0000"/>
          <w:lang w:val="is-IS"/>
        </w:rPr>
      </w:pPr>
      <w:r w:rsidRPr="00A64EF2">
        <w:rPr>
          <w:b/>
          <w:color w:val="FF0000"/>
          <w:lang w:val="is-IS"/>
        </w:rPr>
        <w:t>ATHUGASEMD RITSTJÓRNAR Í JANÚAR 2020</w:t>
      </w:r>
    </w:p>
    <w:p w14:paraId="33D07C48" w14:textId="3D60E1C0" w:rsidR="00DE5F27" w:rsidRPr="00A64EF2" w:rsidRDefault="00E74691" w:rsidP="00E74691">
      <w:pPr>
        <w:jc w:val="both"/>
        <w:rPr>
          <w:color w:val="FF0000"/>
          <w:lang w:val="is-IS"/>
        </w:rPr>
      </w:pPr>
      <w:r w:rsidRPr="00A64EF2">
        <w:rPr>
          <w:color w:val="FF0000"/>
        </w:rPr>
        <w:t xml:space="preserve">Þessi kafli fær að halda sér að mestu leyti. Þó er dregið úr þeirri fullyrðingu (sem byggð er á Superpave aðferðinni) að PG 160/220 bik sé nægilega stíft til að skríða ekki við íslenskar aðstæður, þar sem </w:t>
      </w:r>
      <w:r w:rsidR="003E0BF2" w:rsidRPr="00A64EF2">
        <w:rPr>
          <w:color w:val="FF0000"/>
        </w:rPr>
        <w:t>prófanir í hjólfaraprófi sýna</w:t>
      </w:r>
      <w:r w:rsidR="00B45B7E" w:rsidRPr="00A64EF2">
        <w:rPr>
          <w:color w:val="FF0000"/>
        </w:rPr>
        <w:t>, auk sjónmats á vegum</w:t>
      </w:r>
      <w:r w:rsidRPr="00A64EF2">
        <w:rPr>
          <w:color w:val="FF0000"/>
        </w:rPr>
        <w:t xml:space="preserve"> að svo geti verið, sérstaklega þar sem mikil þungaumferð fer um.</w:t>
      </w:r>
    </w:p>
    <w:p w14:paraId="33D07C49" w14:textId="77777777" w:rsidR="00DE5F27" w:rsidRDefault="00DE5F27" w:rsidP="00DE5F27">
      <w:pPr>
        <w:jc w:val="both"/>
        <w:rPr>
          <w:lang w:val="is-IS"/>
        </w:rPr>
      </w:pPr>
    </w:p>
    <w:p w14:paraId="33D07C4D" w14:textId="77777777" w:rsidR="00DE5F27" w:rsidRPr="00A57EF7" w:rsidRDefault="00DE5F27" w:rsidP="00A57EF7">
      <w:pPr>
        <w:spacing w:after="60"/>
        <w:rPr>
          <w:b/>
          <w:sz w:val="24"/>
          <w:szCs w:val="24"/>
          <w:lang w:val="is-IS"/>
        </w:rPr>
      </w:pPr>
      <w:r w:rsidRPr="00A57EF7">
        <w:rPr>
          <w:b/>
          <w:sz w:val="24"/>
          <w:szCs w:val="24"/>
          <w:lang w:val="is-IS"/>
        </w:rPr>
        <w:t>HEIMILDIR</w:t>
      </w:r>
    </w:p>
    <w:p w14:paraId="33D07C4E" w14:textId="77777777" w:rsidR="00DE5F27" w:rsidRDefault="00DE5F27" w:rsidP="00DE5F27">
      <w:pPr>
        <w:ind w:left="340" w:hanging="340"/>
        <w:jc w:val="both"/>
        <w:rPr>
          <w:szCs w:val="22"/>
          <w:lang w:val="is-IS"/>
        </w:rPr>
      </w:pPr>
      <w:r>
        <w:rPr>
          <w:szCs w:val="22"/>
          <w:lang w:val="is-IS"/>
        </w:rPr>
        <w:t xml:space="preserve">Asphalt Institute. 2003. </w:t>
      </w:r>
      <w:r w:rsidRPr="00B83966">
        <w:rPr>
          <w:i/>
          <w:szCs w:val="22"/>
          <w:lang w:val="is-IS"/>
        </w:rPr>
        <w:t>Superpave. Performance Graded Asphalt Binder Specification and Testing.</w:t>
      </w:r>
      <w:r>
        <w:rPr>
          <w:szCs w:val="22"/>
          <w:lang w:val="is-IS"/>
        </w:rPr>
        <w:t xml:space="preserve"> Superpave Series No. 1 (SP-1). Third Edition, Revised 2003. Asphalt Institute, Lexington.</w:t>
      </w:r>
    </w:p>
    <w:p w14:paraId="33D07C4F" w14:textId="77777777" w:rsidR="00DE5F27" w:rsidRDefault="00DE5F27" w:rsidP="00DE5F27">
      <w:pPr>
        <w:ind w:left="340" w:hanging="340"/>
        <w:jc w:val="both"/>
        <w:rPr>
          <w:szCs w:val="22"/>
          <w:lang w:val="is-IS"/>
        </w:rPr>
      </w:pPr>
      <w:r>
        <w:rPr>
          <w:szCs w:val="22"/>
          <w:lang w:val="is-IS"/>
        </w:rPr>
        <w:lastRenderedPageBreak/>
        <w:t xml:space="preserve">Ásbjörn Jóhannesson. 2005. </w:t>
      </w:r>
      <w:r w:rsidRPr="005F70B2">
        <w:rPr>
          <w:i/>
          <w:szCs w:val="22"/>
          <w:lang w:val="is-IS"/>
        </w:rPr>
        <w:t>Superpave.</w:t>
      </w:r>
      <w:r>
        <w:rPr>
          <w:szCs w:val="22"/>
          <w:lang w:val="is-IS"/>
        </w:rPr>
        <w:t xml:space="preserve"> Unnið fyrir Rannsókna- og þróunarsjóð Vegagerðar</w:t>
      </w:r>
      <w:r>
        <w:rPr>
          <w:szCs w:val="22"/>
          <w:lang w:val="is-IS"/>
        </w:rPr>
        <w:softHyphen/>
        <w:t>innar. Rannsóknastofnun byggingariðnaðarins, skýrsla nr. 05-04. Reykjavík.</w:t>
      </w:r>
    </w:p>
    <w:p w14:paraId="33D07C50" w14:textId="77777777" w:rsidR="00DE5F27" w:rsidRDefault="00DE5F27" w:rsidP="00DE5F27">
      <w:pPr>
        <w:ind w:left="340" w:hanging="340"/>
        <w:jc w:val="both"/>
        <w:rPr>
          <w:szCs w:val="22"/>
          <w:lang w:val="is-IS"/>
        </w:rPr>
      </w:pPr>
      <w:r>
        <w:rPr>
          <w:szCs w:val="22"/>
          <w:lang w:val="is-IS"/>
        </w:rPr>
        <w:t>Hilliges, F</w:t>
      </w:r>
      <w:r w:rsidR="00BC46BA">
        <w:rPr>
          <w:szCs w:val="22"/>
          <w:lang w:val="is-IS"/>
        </w:rPr>
        <w:t>.</w:t>
      </w:r>
      <w:r>
        <w:rPr>
          <w:szCs w:val="22"/>
          <w:lang w:val="is-IS"/>
        </w:rPr>
        <w:t xml:space="preserve"> (redaktör). 1995. </w:t>
      </w:r>
      <w:r w:rsidRPr="008C2FAD">
        <w:rPr>
          <w:i/>
          <w:szCs w:val="22"/>
          <w:lang w:val="is-IS"/>
        </w:rPr>
        <w:t>FAS Asfaltbok.</w:t>
      </w:r>
      <w:r>
        <w:rPr>
          <w:szCs w:val="22"/>
          <w:lang w:val="is-IS"/>
        </w:rPr>
        <w:t xml:space="preserve"> Föreningen för Asfaltbeläggningar i Sverige. Stockholm. </w:t>
      </w:r>
    </w:p>
    <w:p w14:paraId="33D07C51" w14:textId="77777777" w:rsidR="00DE5F27" w:rsidRDefault="00DE5F27" w:rsidP="00DE5F27">
      <w:pPr>
        <w:ind w:left="340" w:hanging="340"/>
        <w:jc w:val="both"/>
        <w:rPr>
          <w:szCs w:val="22"/>
          <w:lang w:val="is-IS"/>
        </w:rPr>
      </w:pPr>
      <w:r>
        <w:rPr>
          <w:szCs w:val="22"/>
          <w:lang w:val="is-IS"/>
        </w:rPr>
        <w:t xml:space="preserve">Shell. 1990. </w:t>
      </w:r>
      <w:r w:rsidRPr="008C2FAD">
        <w:rPr>
          <w:i/>
          <w:szCs w:val="22"/>
          <w:lang w:val="is-IS"/>
        </w:rPr>
        <w:t>The Shell Bitumen Handbook.</w:t>
      </w:r>
      <w:r>
        <w:rPr>
          <w:szCs w:val="22"/>
          <w:lang w:val="is-IS"/>
        </w:rPr>
        <w:t xml:space="preserve"> Shell Bitumen U.K. Chertsey.</w:t>
      </w:r>
    </w:p>
    <w:p w14:paraId="33D07C53" w14:textId="4D7B2BDA" w:rsidR="00DE5F27" w:rsidRPr="00D14E7C" w:rsidRDefault="00DE5F27" w:rsidP="00D14E7C">
      <w:pPr>
        <w:ind w:left="340" w:hanging="340"/>
        <w:jc w:val="both"/>
        <w:rPr>
          <w:lang w:val="is-IS"/>
        </w:rPr>
      </w:pPr>
      <w:r>
        <w:rPr>
          <w:lang w:val="is-IS"/>
        </w:rPr>
        <w:t xml:space="preserve">Tayebali, Akhtarhusein A., Huang, Y. 2004. </w:t>
      </w:r>
      <w:r w:rsidRPr="00FE1623">
        <w:rPr>
          <w:i/>
          <w:lang w:val="is-IS"/>
        </w:rPr>
        <w:t>Performance Grading of Bitumen B-180 and B-85 Used in Iceland.</w:t>
      </w:r>
      <w:r>
        <w:rPr>
          <w:lang w:val="is-IS"/>
        </w:rPr>
        <w:t xml:space="preserve"> Final Report. Department of Civil Engineering, North Carolina State University. Raleigh.</w:t>
      </w:r>
    </w:p>
    <w:p w14:paraId="33D07C71" w14:textId="77777777" w:rsidR="00EF52B1" w:rsidRPr="006868A9" w:rsidRDefault="00EF52B1" w:rsidP="006868A9">
      <w:pPr>
        <w:pStyle w:val="Heading1"/>
      </w:pPr>
      <w:bookmarkStart w:id="11" w:name="_Toc52974016"/>
      <w:r w:rsidRPr="006868A9">
        <w:t>ÁHRIF BINDIEFNISINNIHALDS Á EIGINLEIKA MALBIKS</w:t>
      </w:r>
      <w:bookmarkEnd w:id="11"/>
    </w:p>
    <w:p w14:paraId="33D07C72" w14:textId="77777777" w:rsidR="00EF52B1" w:rsidRPr="0054726C" w:rsidRDefault="00EF52B1" w:rsidP="00EF52B1">
      <w:pPr>
        <w:rPr>
          <w:sz w:val="24"/>
          <w:szCs w:val="24"/>
          <w:lang w:val="is-IS"/>
        </w:rPr>
      </w:pPr>
    </w:p>
    <w:p w14:paraId="33D07C73" w14:textId="77777777" w:rsidR="00EF52B1" w:rsidRDefault="00EF52B1" w:rsidP="00EF52B1">
      <w:pPr>
        <w:spacing w:after="60"/>
        <w:jc w:val="both"/>
        <w:rPr>
          <w:lang w:val="is-IS"/>
        </w:rPr>
      </w:pPr>
      <w:r>
        <w:rPr>
          <w:lang w:val="is-IS"/>
        </w:rPr>
        <w:t>Bein áhrif bindiefnisinnihalds á malbiksblönduna eru:</w:t>
      </w:r>
    </w:p>
    <w:p w14:paraId="33D07C74" w14:textId="77777777" w:rsidR="00EF52B1" w:rsidRDefault="00EF52B1" w:rsidP="00F423B4">
      <w:pPr>
        <w:numPr>
          <w:ilvl w:val="0"/>
          <w:numId w:val="3"/>
        </w:numPr>
        <w:ind w:left="714" w:hanging="357"/>
        <w:jc w:val="both"/>
        <w:rPr>
          <w:lang w:val="is-IS"/>
        </w:rPr>
      </w:pPr>
      <w:r>
        <w:rPr>
          <w:lang w:val="is-IS"/>
        </w:rPr>
        <w:t>Þykkari bindiefnishúð á steinefnakornum með auknu bindiefnisinnihaldi.</w:t>
      </w:r>
    </w:p>
    <w:p w14:paraId="33D07C75" w14:textId="77777777" w:rsidR="00EF52B1" w:rsidRDefault="00EF52B1" w:rsidP="00EF52B1">
      <w:pPr>
        <w:numPr>
          <w:ilvl w:val="0"/>
          <w:numId w:val="3"/>
        </w:numPr>
        <w:spacing w:after="60"/>
        <w:jc w:val="both"/>
        <w:rPr>
          <w:lang w:val="is-IS"/>
        </w:rPr>
      </w:pPr>
      <w:r>
        <w:rPr>
          <w:lang w:val="is-IS"/>
        </w:rPr>
        <w:t>Hluti fylltrar holrýmdar eykst með auknu bindiefnisinnihaldi.</w:t>
      </w:r>
    </w:p>
    <w:p w14:paraId="33D07C76" w14:textId="77777777" w:rsidR="00EF52B1" w:rsidRDefault="00EF52B1" w:rsidP="00EF52B1">
      <w:pPr>
        <w:spacing w:after="60"/>
        <w:jc w:val="both"/>
        <w:rPr>
          <w:lang w:val="is-IS"/>
        </w:rPr>
      </w:pPr>
      <w:r>
        <w:rPr>
          <w:lang w:val="is-IS"/>
        </w:rPr>
        <w:t>Óbeint hefur bindiefnisinnihaldið margvísleg áhrif á eiginle</w:t>
      </w:r>
      <w:r w:rsidR="001F0FB6">
        <w:rPr>
          <w:lang w:val="is-IS"/>
        </w:rPr>
        <w:t xml:space="preserve">ika malbiksins. Nokkur þeirra, </w:t>
      </w:r>
      <w:r>
        <w:rPr>
          <w:lang w:val="is-IS"/>
        </w:rPr>
        <w:t xml:space="preserve">tekin upp úr skýrslu frá norræna vegtæknisambandinu </w:t>
      </w:r>
      <w:r w:rsidR="00BC46BA">
        <w:rPr>
          <w:lang w:val="is-IS"/>
        </w:rPr>
        <w:t>[</w:t>
      </w:r>
      <w:r>
        <w:rPr>
          <w:lang w:val="is-IS"/>
        </w:rPr>
        <w:t>NVF 33, 1985</w:t>
      </w:r>
      <w:r w:rsidR="00BC46BA">
        <w:rPr>
          <w:lang w:val="is-IS"/>
        </w:rPr>
        <w:t>]</w:t>
      </w:r>
      <w:r>
        <w:rPr>
          <w:lang w:val="is-IS"/>
        </w:rPr>
        <w:t>, eru rakin hér á eftir</w:t>
      </w:r>
      <w:r w:rsidR="00BC46BA">
        <w:rPr>
          <w:lang w:val="is-IS"/>
        </w:rPr>
        <w:t xml:space="preserve"> (blaðsíðutöl í svigum)</w:t>
      </w:r>
      <w:r>
        <w:rPr>
          <w:lang w:val="is-IS"/>
        </w:rPr>
        <w:t xml:space="preserve">. </w:t>
      </w:r>
    </w:p>
    <w:p w14:paraId="33D07C77" w14:textId="77777777" w:rsidR="00EF52B1" w:rsidRDefault="00EF52B1" w:rsidP="00EF52B1">
      <w:pPr>
        <w:numPr>
          <w:ilvl w:val="0"/>
          <w:numId w:val="4"/>
        </w:numPr>
        <w:spacing w:after="60"/>
        <w:jc w:val="both"/>
        <w:rPr>
          <w:lang w:val="is-IS"/>
        </w:rPr>
      </w:pPr>
      <w:r>
        <w:rPr>
          <w:lang w:val="is-IS"/>
        </w:rPr>
        <w:t>Hátt bindiefnisinnihald minnkar áhrifin af jákvæðum eiginleikum steinefnisins á mótstöðu gegn skriði (15).</w:t>
      </w:r>
    </w:p>
    <w:p w14:paraId="33D07C78" w14:textId="77777777" w:rsidR="00EF52B1" w:rsidRDefault="00EF52B1" w:rsidP="00EF52B1">
      <w:pPr>
        <w:numPr>
          <w:ilvl w:val="0"/>
          <w:numId w:val="4"/>
        </w:numPr>
        <w:spacing w:after="60"/>
        <w:jc w:val="both"/>
        <w:rPr>
          <w:lang w:val="is-IS"/>
        </w:rPr>
      </w:pPr>
      <w:r>
        <w:rPr>
          <w:lang w:val="is-IS"/>
        </w:rPr>
        <w:t>Hæfilegt bindiefnismagn er fall af eiginleikum steinefnis (sáldurferli, lögun, gropu) og pökkun. Eitt og sér er bindiefnisinnihald lélegur mælikvarði á líkur á skriði (17).</w:t>
      </w:r>
    </w:p>
    <w:p w14:paraId="33D07C79" w14:textId="77777777" w:rsidR="00EF52B1" w:rsidRDefault="00EF52B1" w:rsidP="00EF52B1">
      <w:pPr>
        <w:numPr>
          <w:ilvl w:val="0"/>
          <w:numId w:val="4"/>
        </w:numPr>
        <w:spacing w:after="60"/>
        <w:jc w:val="both"/>
        <w:rPr>
          <w:lang w:val="is-IS"/>
        </w:rPr>
      </w:pPr>
      <w:r>
        <w:rPr>
          <w:lang w:val="is-IS"/>
        </w:rPr>
        <w:t>Þegar hefðbundnum hönnunaraðferðum er beitt, er lágmarksholrýmd eða hámarksrúmþyngd að jafnaði heppilegasti mælikvarðinn á hæfilegt bindiefnisinnihald (18).</w:t>
      </w:r>
    </w:p>
    <w:p w14:paraId="33D07C7A" w14:textId="77777777" w:rsidR="00EF52B1" w:rsidRDefault="00EF52B1" w:rsidP="00EF52B1">
      <w:pPr>
        <w:numPr>
          <w:ilvl w:val="0"/>
          <w:numId w:val="4"/>
        </w:numPr>
        <w:spacing w:after="60"/>
        <w:jc w:val="both"/>
        <w:rPr>
          <w:lang w:val="is-IS"/>
        </w:rPr>
      </w:pPr>
      <w:r>
        <w:rPr>
          <w:lang w:val="is-IS"/>
        </w:rPr>
        <w:t>Nágrannalöndin nota ýmist leiðbeinandi gildi fyrir bindiefnisinnihald eða takmörkunarramma (23).</w:t>
      </w:r>
    </w:p>
    <w:p w14:paraId="33D07C7B" w14:textId="50FFA2C7" w:rsidR="00EF52B1" w:rsidRDefault="00EF52B1" w:rsidP="00EF52B1">
      <w:pPr>
        <w:numPr>
          <w:ilvl w:val="0"/>
          <w:numId w:val="4"/>
        </w:numPr>
        <w:spacing w:after="60"/>
        <w:jc w:val="both"/>
        <w:rPr>
          <w:lang w:val="is-IS"/>
        </w:rPr>
      </w:pPr>
      <w:r>
        <w:rPr>
          <w:lang w:val="is-IS"/>
        </w:rPr>
        <w:t xml:space="preserve">Hérlendis </w:t>
      </w:r>
      <w:r w:rsidR="00262221">
        <w:rPr>
          <w:lang w:val="is-IS"/>
        </w:rPr>
        <w:t xml:space="preserve">tíðkaðist </w:t>
      </w:r>
      <w:r>
        <w:rPr>
          <w:lang w:val="is-IS"/>
        </w:rPr>
        <w:t>lengi að nota hátt bindiefnisinnihald</w:t>
      </w:r>
      <w:r w:rsidR="00262221">
        <w:rPr>
          <w:lang w:val="is-IS"/>
        </w:rPr>
        <w:t>, enda umferð mun minni og þung ökutæki léttari en nú er</w:t>
      </w:r>
      <w:r>
        <w:rPr>
          <w:lang w:val="is-IS"/>
        </w:rPr>
        <w:t>.</w:t>
      </w:r>
      <w:r w:rsidR="00262221">
        <w:rPr>
          <w:lang w:val="is-IS"/>
        </w:rPr>
        <w:t xml:space="preserve"> Því hafa til dæmis mörk holrýmdar í hönnuðu stífmalbiki verið hækkuð frá því sem áður var.</w:t>
      </w:r>
      <w:r>
        <w:rPr>
          <w:lang w:val="is-IS"/>
        </w:rPr>
        <w:t xml:space="preserve"> </w:t>
      </w:r>
    </w:p>
    <w:p w14:paraId="33D07C7C" w14:textId="77777777" w:rsidR="00EF52B1" w:rsidRDefault="00EF52B1" w:rsidP="00EF52B1">
      <w:pPr>
        <w:numPr>
          <w:ilvl w:val="0"/>
          <w:numId w:val="4"/>
        </w:numPr>
        <w:spacing w:after="60"/>
        <w:jc w:val="both"/>
        <w:rPr>
          <w:lang w:val="is-IS"/>
        </w:rPr>
      </w:pPr>
      <w:r>
        <w:rPr>
          <w:lang w:val="is-IS"/>
        </w:rPr>
        <w:t>Aukið bindiefnisinnihald eykur að jafnaði endingu (34). Þreytuþol eykst með háu bindiefnisinnihaldi (35).</w:t>
      </w:r>
      <w:r w:rsidR="005A2CC1">
        <w:rPr>
          <w:lang w:val="is-IS"/>
        </w:rPr>
        <w:t xml:space="preserve"> Þó getur aukið bindiefnisinnihald aukið hættu á skrið</w:t>
      </w:r>
      <w:r w:rsidR="00262221">
        <w:rPr>
          <w:lang w:val="is-IS"/>
        </w:rPr>
        <w:t>i verulega að sumri til, sérstaklega þar umferð er mikil og þung.</w:t>
      </w:r>
    </w:p>
    <w:p w14:paraId="33D07C7E" w14:textId="77777777" w:rsidR="00EF52B1" w:rsidRDefault="00EF52B1" w:rsidP="00EF52B1">
      <w:pPr>
        <w:numPr>
          <w:ilvl w:val="0"/>
          <w:numId w:val="4"/>
        </w:numPr>
        <w:spacing w:after="60"/>
        <w:jc w:val="both"/>
        <w:rPr>
          <w:lang w:val="is-IS"/>
        </w:rPr>
      </w:pPr>
      <w:r>
        <w:rPr>
          <w:lang w:val="is-IS"/>
        </w:rPr>
        <w:t>Of þunnar bindiefnishimmnur geta valdið viðloðunarskemmdum (53). Líklega á þetta enn frekar við þar sem salt er notað til hálkuvarna, það er hugsanleg</w:t>
      </w:r>
      <w:r w:rsidR="001D10CA">
        <w:rPr>
          <w:lang w:val="is-IS"/>
        </w:rPr>
        <w:t>t</w:t>
      </w:r>
      <w:r>
        <w:rPr>
          <w:lang w:val="is-IS"/>
        </w:rPr>
        <w:t xml:space="preserve"> að saltblandað vatn smjúgi betur en hreint vatn vegna lægri seigju. Um leið er rétt að hafa í huga að bindiefnishimnan er að jafnaði mjög þunn, 9-25 µm (þessar þykktir eru teknar upp úr annarri heimild, NVF-33, 1984, bls. 18).</w:t>
      </w:r>
    </w:p>
    <w:p w14:paraId="33D07C82" w14:textId="2006F8F7" w:rsidR="00EF52B1" w:rsidRDefault="00E921CA" w:rsidP="001044F8">
      <w:pPr>
        <w:ind w:firstLine="340"/>
        <w:jc w:val="both"/>
        <w:rPr>
          <w:lang w:val="is-IS"/>
        </w:rPr>
      </w:pPr>
      <w:r>
        <w:rPr>
          <w:lang w:val="is-IS"/>
        </w:rPr>
        <w:t>M</w:t>
      </w:r>
      <w:r w:rsidR="00EF52B1">
        <w:rPr>
          <w:lang w:val="is-IS"/>
        </w:rPr>
        <w:t>eiri hætta</w:t>
      </w:r>
      <w:r>
        <w:rPr>
          <w:lang w:val="is-IS"/>
        </w:rPr>
        <w:t xml:space="preserve"> er</w:t>
      </w:r>
      <w:r w:rsidR="00EF52B1">
        <w:rPr>
          <w:lang w:val="is-IS"/>
        </w:rPr>
        <w:t xml:space="preserve"> á bindiefnisslikju á nýlögðu malbiki ef bindiefnisinnihaldið er hátt</w:t>
      </w:r>
      <w:r>
        <w:rPr>
          <w:lang w:val="is-IS"/>
        </w:rPr>
        <w:t>,</w:t>
      </w:r>
      <w:r w:rsidR="00EF52B1">
        <w:rPr>
          <w:lang w:val="is-IS"/>
        </w:rPr>
        <w:t xml:space="preserve"> </w:t>
      </w:r>
      <w:r>
        <w:rPr>
          <w:lang w:val="is-IS"/>
        </w:rPr>
        <w:t xml:space="preserve">en </w:t>
      </w:r>
      <w:r w:rsidR="00EF52B1">
        <w:rPr>
          <w:lang w:val="is-IS"/>
        </w:rPr>
        <w:t>hún</w:t>
      </w:r>
      <w:r>
        <w:rPr>
          <w:lang w:val="is-IS"/>
        </w:rPr>
        <w:t xml:space="preserve"> getur haft</w:t>
      </w:r>
      <w:r w:rsidR="00EF52B1">
        <w:rPr>
          <w:lang w:val="is-IS"/>
        </w:rPr>
        <w:t xml:space="preserve"> áhrif á hemlunarvegalengd og þar með </w:t>
      </w:r>
      <w:r>
        <w:rPr>
          <w:lang w:val="is-IS"/>
        </w:rPr>
        <w:t xml:space="preserve">aukið </w:t>
      </w:r>
      <w:r w:rsidR="00EF52B1">
        <w:rPr>
          <w:lang w:val="is-IS"/>
        </w:rPr>
        <w:t>slysahættu. Þ</w:t>
      </w:r>
      <w:r>
        <w:rPr>
          <w:lang w:val="is-IS"/>
        </w:rPr>
        <w:t>að</w:t>
      </w:r>
      <w:r w:rsidR="00EF52B1">
        <w:rPr>
          <w:lang w:val="is-IS"/>
        </w:rPr>
        <w:t xml:space="preserve"> verður að teljast líklegt að þarna sé samband á milli, enda finnast dæmi í heimildum um lækkandi viðnámsstuðul með hækkandi bindiefnisinnihaldi </w:t>
      </w:r>
      <w:r w:rsidR="00BC46BA">
        <w:rPr>
          <w:lang w:val="is-IS"/>
        </w:rPr>
        <w:t>[</w:t>
      </w:r>
      <w:r w:rsidR="00EF52B1">
        <w:rPr>
          <w:lang w:val="is-IS"/>
        </w:rPr>
        <w:t>Slyngstad 1972 bls. 7</w:t>
      </w:r>
      <w:r w:rsidR="00BC46BA">
        <w:rPr>
          <w:lang w:val="is-IS"/>
        </w:rPr>
        <w:t>]</w:t>
      </w:r>
      <w:r w:rsidR="00EF52B1">
        <w:rPr>
          <w:lang w:val="is-IS"/>
        </w:rPr>
        <w:t xml:space="preserve">. Í Finnlandi </w:t>
      </w:r>
      <w:r w:rsidR="00BC46BA">
        <w:rPr>
          <w:lang w:val="is-IS"/>
        </w:rPr>
        <w:t>[</w:t>
      </w:r>
      <w:r w:rsidR="00EF52B1">
        <w:rPr>
          <w:lang w:val="is-IS"/>
        </w:rPr>
        <w:t>NVF-33 2004. bls. 15</w:t>
      </w:r>
      <w:r w:rsidR="00BC46BA">
        <w:rPr>
          <w:lang w:val="is-IS"/>
        </w:rPr>
        <w:t>]</w:t>
      </w:r>
      <w:r w:rsidR="00EF52B1">
        <w:rPr>
          <w:lang w:val="is-IS"/>
        </w:rPr>
        <w:t xml:space="preserve"> eru dæmi um slys á nýlögðu malbiki í rigningu, en í sömu heimild er tekið fram að slys hafi ekki verið rakin til lágs hemlunarviðnám</w:t>
      </w:r>
      <w:r>
        <w:rPr>
          <w:lang w:val="is-IS"/>
        </w:rPr>
        <w:t>s</w:t>
      </w:r>
      <w:r w:rsidR="00EF52B1">
        <w:rPr>
          <w:lang w:val="is-IS"/>
        </w:rPr>
        <w:t xml:space="preserve"> á gömlum slitlögum. Þetta gæti verið vísbending um að bílstjórar ofmeti hemlunarviðnám á nýlögðu slitlagi (með bindiefnisslikju á yfirborðinu).</w:t>
      </w:r>
    </w:p>
    <w:p w14:paraId="33D07C83" w14:textId="4689D4AD" w:rsidR="00EF52B1" w:rsidRDefault="00EF52B1" w:rsidP="001044F8">
      <w:pPr>
        <w:ind w:firstLine="340"/>
        <w:jc w:val="both"/>
        <w:rPr>
          <w:lang w:val="is-IS"/>
        </w:rPr>
      </w:pPr>
      <w:r>
        <w:rPr>
          <w:lang w:val="is-IS"/>
        </w:rPr>
        <w:t xml:space="preserve">Croney </w:t>
      </w:r>
      <w:r w:rsidR="00BC46BA">
        <w:rPr>
          <w:lang w:val="is-IS"/>
        </w:rPr>
        <w:t>[</w:t>
      </w:r>
      <w:r>
        <w:rPr>
          <w:lang w:val="is-IS"/>
        </w:rPr>
        <w:t>1991, bls. 526</w:t>
      </w:r>
      <w:r w:rsidR="00BC46BA">
        <w:rPr>
          <w:lang w:val="is-IS"/>
        </w:rPr>
        <w:t>]</w:t>
      </w:r>
      <w:r>
        <w:rPr>
          <w:lang w:val="is-IS"/>
        </w:rPr>
        <w:t xml:space="preserve"> gerir hemlunarviðnámi talsverð skil. Slys vegna of lítils hemlunarviðnáms verða fyrst og fremst á blautum slitlögum</w:t>
      </w:r>
      <w:r w:rsidR="00E921CA">
        <w:rPr>
          <w:lang w:val="is-IS"/>
        </w:rPr>
        <w:t xml:space="preserve"> (ef frá eru taldir hálir vegir vegna íss)</w:t>
      </w:r>
      <w:r>
        <w:rPr>
          <w:lang w:val="is-IS"/>
        </w:rPr>
        <w:t>. Ef hraðinn er 50 km/klst eða meiri skiptir grófa áferðin, þ.e. hinar sýnilegu ójöfnur (</w:t>
      </w:r>
      <w:r w:rsidR="00E921CA">
        <w:rPr>
          <w:lang w:val="is-IS"/>
        </w:rPr>
        <w:t xml:space="preserve">e. </w:t>
      </w:r>
      <w:r>
        <w:rPr>
          <w:lang w:val="is-IS"/>
        </w:rPr>
        <w:t>macrotexture), mestu fyrir hemlunarviðnámið, annars gerð steinefnisins (</w:t>
      </w:r>
      <w:r w:rsidR="00E921CA">
        <w:rPr>
          <w:lang w:val="is-IS"/>
        </w:rPr>
        <w:t xml:space="preserve">e. </w:t>
      </w:r>
      <w:r>
        <w:rPr>
          <w:lang w:val="is-IS"/>
        </w:rPr>
        <w:t xml:space="preserve">microtexture). Hann tekur eitt dæmi af rannsókn, gerðri á fjórða áratug síðustu aldar, sem sýndi að hemlunarviðnám á tiltekinni slitlagsgerð jókst verulega þegar bindiefnisfilman var farin af (viðnámsstuðullinn, </w:t>
      </w:r>
      <w:r>
        <w:rPr>
          <w:lang w:val="is-IS"/>
        </w:rPr>
        <w:lastRenderedPageBreak/>
        <w:t>SFC, jókst úr 0,3 í 0,7). Þessi breyting tók hins vegar langan tíma, fimm ár, enda var umferðin lítil.</w:t>
      </w:r>
      <w:r w:rsidR="00E921CA">
        <w:rPr>
          <w:lang w:val="is-IS"/>
        </w:rPr>
        <w:t xml:space="preserve"> Í þessu tilfelli er ekki ólíklegt að steinefnið sjálft hafi pólerast með tímanun og orðið hált af þeim völdum.</w:t>
      </w:r>
    </w:p>
    <w:p w14:paraId="33D07C84" w14:textId="77777777" w:rsidR="00EF52B1" w:rsidRDefault="00EF52B1" w:rsidP="001044F8">
      <w:pPr>
        <w:ind w:firstLine="340"/>
        <w:jc w:val="both"/>
        <w:rPr>
          <w:lang w:val="is-IS"/>
        </w:rPr>
      </w:pPr>
      <w:r>
        <w:rPr>
          <w:lang w:val="is-IS"/>
        </w:rPr>
        <w:t xml:space="preserve">Íslenskar mælingar á viðnámsstuðulum á nokkrum götum í Reykjavík með mikilli umferð </w:t>
      </w:r>
      <w:r w:rsidR="00BC46BA">
        <w:rPr>
          <w:lang w:val="is-IS"/>
        </w:rPr>
        <w:t>[</w:t>
      </w:r>
      <w:r>
        <w:rPr>
          <w:lang w:val="is-IS"/>
        </w:rPr>
        <w:t>Ásbjörn Ólafsson, 2001</w:t>
      </w:r>
      <w:r w:rsidR="00BC46BA">
        <w:rPr>
          <w:lang w:val="is-IS"/>
        </w:rPr>
        <w:t>]</w:t>
      </w:r>
      <w:r>
        <w:rPr>
          <w:lang w:val="is-IS"/>
        </w:rPr>
        <w:t xml:space="preserve"> gefa til kynna að hemlunarviðnám á nýlögðu slitlagi aukist lítillega (um 0,1) á tímabilinu október-desember. Á stöku stað og stuttum köflum er aukningin þó miklu meiri (um 0,3; í einu tilfelli um 0,5) sem getur bent til að þar hafi verið feitir blettir vegna of mikils bindiefnis. Í þessum mælingum er viðnámsstuðullinn þó hvergi minni en 0,4.  </w:t>
      </w:r>
    </w:p>
    <w:p w14:paraId="33D07C85" w14:textId="77777777" w:rsidR="00E252CB" w:rsidRPr="00CD08F4" w:rsidRDefault="00E252CB" w:rsidP="001044F8">
      <w:pPr>
        <w:ind w:firstLine="340"/>
        <w:jc w:val="both"/>
        <w:rPr>
          <w:color w:val="FF0000"/>
          <w:lang w:val="is-IS"/>
        </w:rPr>
      </w:pPr>
    </w:p>
    <w:p w14:paraId="33D07C86" w14:textId="77777777" w:rsidR="00E74691" w:rsidRPr="00CD08F4" w:rsidRDefault="00E74691" w:rsidP="00E74691">
      <w:pPr>
        <w:ind w:firstLine="340"/>
        <w:jc w:val="both"/>
        <w:rPr>
          <w:b/>
          <w:color w:val="FF0000"/>
          <w:lang w:val="is-IS"/>
        </w:rPr>
      </w:pPr>
      <w:r w:rsidRPr="00CD08F4">
        <w:rPr>
          <w:b/>
          <w:color w:val="FF0000"/>
          <w:lang w:val="is-IS"/>
        </w:rPr>
        <w:t>ATHUGASEMD RITSTJÓRNAR Í JANÚAR 2020</w:t>
      </w:r>
    </w:p>
    <w:p w14:paraId="33D07C87" w14:textId="7714D4B1" w:rsidR="00EF52B1" w:rsidRPr="00CD08F4" w:rsidRDefault="00E74691" w:rsidP="00E74691">
      <w:pPr>
        <w:spacing w:after="60"/>
        <w:jc w:val="both"/>
        <w:rPr>
          <w:color w:val="FF0000"/>
          <w:lang w:val="is-IS"/>
        </w:rPr>
      </w:pPr>
      <w:r w:rsidRPr="00CD08F4">
        <w:rPr>
          <w:color w:val="FF0000"/>
        </w:rPr>
        <w:t>Þessi kafli fær að halda sér að mestu leyti. Þó er aðeins dregið úr með að nota eins mikið bindiefni og mögulegt sé</w:t>
      </w:r>
      <w:r w:rsidR="00E252CB" w:rsidRPr="00CD08F4">
        <w:rPr>
          <w:color w:val="FF0000"/>
        </w:rPr>
        <w:t>, þar sem það eykur hættu á skriði í malbiki</w:t>
      </w:r>
      <w:r w:rsidR="00E32A0E" w:rsidRPr="00CD08F4">
        <w:rPr>
          <w:color w:val="FF0000"/>
        </w:rPr>
        <w:t xml:space="preserve"> og getur minnkað hemlunarviðnám</w:t>
      </w:r>
      <w:r w:rsidRPr="00CD08F4">
        <w:rPr>
          <w:color w:val="FF0000"/>
        </w:rPr>
        <w:t>.</w:t>
      </w:r>
    </w:p>
    <w:p w14:paraId="33D07C88" w14:textId="77777777" w:rsidR="00A57EF7" w:rsidRPr="00CD08F4" w:rsidRDefault="00A57EF7" w:rsidP="00EF52B1">
      <w:pPr>
        <w:spacing w:after="60"/>
        <w:jc w:val="both"/>
        <w:rPr>
          <w:color w:val="FF0000"/>
          <w:lang w:val="is-IS"/>
        </w:rPr>
      </w:pPr>
    </w:p>
    <w:p w14:paraId="33D07C89" w14:textId="77777777" w:rsidR="00EF52B1" w:rsidRPr="00A57EF7" w:rsidRDefault="00EF52B1" w:rsidP="00A57EF7">
      <w:pPr>
        <w:spacing w:after="60"/>
        <w:rPr>
          <w:b/>
          <w:sz w:val="24"/>
          <w:szCs w:val="24"/>
          <w:lang w:val="is-IS"/>
        </w:rPr>
      </w:pPr>
      <w:r w:rsidRPr="00A57EF7">
        <w:rPr>
          <w:b/>
          <w:sz w:val="24"/>
          <w:szCs w:val="24"/>
          <w:lang w:val="is-IS"/>
        </w:rPr>
        <w:t>HEIMILDIR</w:t>
      </w:r>
    </w:p>
    <w:p w14:paraId="33D07C8A" w14:textId="77777777" w:rsidR="00EF52B1" w:rsidRDefault="00EF52B1" w:rsidP="00A57EF7">
      <w:pPr>
        <w:ind w:left="340" w:hanging="340"/>
        <w:jc w:val="both"/>
        <w:rPr>
          <w:lang w:val="is-IS"/>
        </w:rPr>
      </w:pPr>
      <w:r>
        <w:rPr>
          <w:lang w:val="is-IS"/>
        </w:rPr>
        <w:t>Ásbjörn Ólafsson. Excel-skrár yfir niðurstöður mælinga á viðnámsstuðli í september, október og desember 2001. Óbirt heimild.</w:t>
      </w:r>
    </w:p>
    <w:p w14:paraId="33D07C8B" w14:textId="77777777" w:rsidR="00EF52B1" w:rsidRDefault="00EF52B1" w:rsidP="00A57EF7">
      <w:pPr>
        <w:ind w:left="340" w:hanging="340"/>
        <w:jc w:val="both"/>
        <w:rPr>
          <w:lang w:val="is-IS"/>
        </w:rPr>
      </w:pPr>
      <w:r>
        <w:rPr>
          <w:lang w:val="is-IS"/>
        </w:rPr>
        <w:t xml:space="preserve">Croney, D. and P. Croney. 1991. </w:t>
      </w:r>
      <w:r w:rsidRPr="00BE554A">
        <w:rPr>
          <w:i/>
          <w:lang w:val="is-IS"/>
        </w:rPr>
        <w:t xml:space="preserve">The </w:t>
      </w:r>
      <w:r>
        <w:rPr>
          <w:i/>
          <w:lang w:val="is-IS"/>
        </w:rPr>
        <w:t>D</w:t>
      </w:r>
      <w:r w:rsidRPr="00BE554A">
        <w:rPr>
          <w:i/>
          <w:lang w:val="is-IS"/>
        </w:rPr>
        <w:t xml:space="preserve">esign and </w:t>
      </w:r>
      <w:r>
        <w:rPr>
          <w:i/>
          <w:lang w:val="is-IS"/>
        </w:rPr>
        <w:t>P</w:t>
      </w:r>
      <w:r w:rsidRPr="00BE554A">
        <w:rPr>
          <w:i/>
          <w:lang w:val="is-IS"/>
        </w:rPr>
        <w:t xml:space="preserve">erformance of </w:t>
      </w:r>
      <w:r>
        <w:rPr>
          <w:i/>
          <w:lang w:val="is-IS"/>
        </w:rPr>
        <w:t>R</w:t>
      </w:r>
      <w:r w:rsidRPr="00BE554A">
        <w:rPr>
          <w:i/>
          <w:lang w:val="is-IS"/>
        </w:rPr>
        <w:t xml:space="preserve">oad </w:t>
      </w:r>
      <w:r>
        <w:rPr>
          <w:i/>
          <w:lang w:val="is-IS"/>
        </w:rPr>
        <w:t>P</w:t>
      </w:r>
      <w:r w:rsidRPr="00BE554A">
        <w:rPr>
          <w:i/>
          <w:lang w:val="is-IS"/>
        </w:rPr>
        <w:t>avements.</w:t>
      </w:r>
      <w:r>
        <w:rPr>
          <w:lang w:val="is-IS"/>
        </w:rPr>
        <w:t xml:space="preserve"> Second edition. McGraw-Hill Book Company. London.</w:t>
      </w:r>
    </w:p>
    <w:p w14:paraId="33D07C8C" w14:textId="77777777" w:rsidR="00EF52B1" w:rsidRDefault="00EF52B1" w:rsidP="00A57EF7">
      <w:pPr>
        <w:ind w:left="340" w:hanging="340"/>
        <w:jc w:val="both"/>
        <w:rPr>
          <w:lang w:val="is-IS"/>
        </w:rPr>
      </w:pPr>
      <w:r>
        <w:rPr>
          <w:lang w:val="is-IS"/>
        </w:rPr>
        <w:t xml:space="preserve">Jacobson, T. 2000. </w:t>
      </w:r>
      <w:r w:rsidRPr="00F8774E">
        <w:rPr>
          <w:i/>
          <w:lang w:val="is-IS"/>
        </w:rPr>
        <w:t xml:space="preserve">Utredning av beläggningsskader på Island (Reykjavik). </w:t>
      </w:r>
      <w:r>
        <w:rPr>
          <w:lang w:val="is-IS"/>
        </w:rPr>
        <w:t>VTI notat 60-2000. Väg- och transportforskningsinstitutet. Linköping.</w:t>
      </w:r>
    </w:p>
    <w:p w14:paraId="33D07C8D" w14:textId="77777777" w:rsidR="00EF52B1" w:rsidRDefault="00EF52B1" w:rsidP="00A57EF7">
      <w:pPr>
        <w:ind w:left="340" w:hanging="340"/>
        <w:jc w:val="both"/>
        <w:rPr>
          <w:lang w:val="is-IS"/>
        </w:rPr>
      </w:pPr>
      <w:r>
        <w:rPr>
          <w:lang w:val="is-IS"/>
        </w:rPr>
        <w:t xml:space="preserve">NVF-33. 1984. </w:t>
      </w:r>
      <w:r>
        <w:rPr>
          <w:i/>
          <w:lang w:val="is-IS"/>
        </w:rPr>
        <w:t>Massasammansättningens och packningsgradens inverkan på hållbarheten hos asfaltbetong</w:t>
      </w:r>
      <w:r w:rsidRPr="00CB56DB">
        <w:rPr>
          <w:i/>
          <w:lang w:val="is-IS"/>
        </w:rPr>
        <w:t>.</w:t>
      </w:r>
      <w:r>
        <w:rPr>
          <w:lang w:val="is-IS"/>
        </w:rPr>
        <w:t xml:space="preserve"> Nordiska Vägtekniska Förbundet. Utskott 33 Asfaltbeläggningar.</w:t>
      </w:r>
    </w:p>
    <w:p w14:paraId="33D07C8E" w14:textId="77777777" w:rsidR="00EF52B1" w:rsidRDefault="00EF52B1" w:rsidP="00A57EF7">
      <w:pPr>
        <w:ind w:left="340" w:hanging="340"/>
        <w:jc w:val="both"/>
        <w:rPr>
          <w:lang w:val="is-IS"/>
        </w:rPr>
      </w:pPr>
      <w:r>
        <w:rPr>
          <w:lang w:val="is-IS"/>
        </w:rPr>
        <w:t xml:space="preserve">NVF-33. 1985. </w:t>
      </w:r>
      <w:r>
        <w:rPr>
          <w:i/>
          <w:lang w:val="is-IS"/>
        </w:rPr>
        <w:t>Materialegenskaper og funktionskrav for varmblandede dekker og bærelag.</w:t>
      </w:r>
      <w:r>
        <w:rPr>
          <w:lang w:val="is-IS"/>
        </w:rPr>
        <w:t xml:space="preserve"> Nordiska Vägtekniska Förbundet. Utskott 33 Asfaltbeläggningar. Rapport nr 5: 1985.</w:t>
      </w:r>
    </w:p>
    <w:p w14:paraId="33D07C8F" w14:textId="77777777" w:rsidR="00EF52B1" w:rsidRDefault="00EF52B1" w:rsidP="00A57EF7">
      <w:pPr>
        <w:ind w:left="340" w:hanging="340"/>
        <w:jc w:val="both"/>
        <w:rPr>
          <w:lang w:val="is-IS"/>
        </w:rPr>
      </w:pPr>
      <w:r>
        <w:rPr>
          <w:lang w:val="is-IS"/>
        </w:rPr>
        <w:t xml:space="preserve">NVF-33. 2004. </w:t>
      </w:r>
      <w:r>
        <w:rPr>
          <w:i/>
          <w:lang w:val="is-IS"/>
        </w:rPr>
        <w:t>Asfaltbelegningers overflateegenskaper - Friksjon.</w:t>
      </w:r>
      <w:r>
        <w:rPr>
          <w:lang w:val="is-IS"/>
        </w:rPr>
        <w:t xml:space="preserve"> Nordiska Vägtekniska Förbundet. Utskott 33 Asfaltbeläggningar. Bráðabirgðaútgáfa.</w:t>
      </w:r>
    </w:p>
    <w:p w14:paraId="33D07C90" w14:textId="77777777" w:rsidR="00EF52B1" w:rsidRDefault="00EF52B1" w:rsidP="00A57EF7">
      <w:pPr>
        <w:ind w:left="340" w:hanging="340"/>
        <w:jc w:val="both"/>
        <w:rPr>
          <w:lang w:val="is-IS"/>
        </w:rPr>
      </w:pPr>
      <w:r>
        <w:rPr>
          <w:lang w:val="is-IS"/>
        </w:rPr>
        <w:t xml:space="preserve">Slyngstad, T. 1972. </w:t>
      </w:r>
      <w:r w:rsidRPr="00F373CD">
        <w:rPr>
          <w:i/>
          <w:lang w:val="is-IS"/>
        </w:rPr>
        <w:t>Friksjon.</w:t>
      </w:r>
      <w:r>
        <w:rPr>
          <w:lang w:val="is-IS"/>
        </w:rPr>
        <w:t xml:space="preserve"> Internt notat for særkurset. Institutt for veg- og jernbanebygging, Universitetet i Trondheim, Norges Tekniske Högskole. </w:t>
      </w:r>
    </w:p>
    <w:p w14:paraId="33D07CA6" w14:textId="77777777" w:rsidR="001D10CA" w:rsidRDefault="001D10CA" w:rsidP="00CD08F4">
      <w:pPr>
        <w:spacing w:after="60"/>
        <w:jc w:val="both"/>
        <w:rPr>
          <w:lang w:val="is-IS"/>
        </w:rPr>
      </w:pPr>
    </w:p>
    <w:p w14:paraId="33D07CA7" w14:textId="77777777" w:rsidR="00516476" w:rsidRPr="006868A9" w:rsidRDefault="00516476" w:rsidP="006868A9">
      <w:pPr>
        <w:pStyle w:val="Heading1"/>
      </w:pPr>
      <w:bookmarkStart w:id="12" w:name="_Toc52974017"/>
      <w:r w:rsidRPr="006868A9">
        <w:t>TILLAGA AÐ MÖRKUM FYRIR BINDIEFNISINNIHALD</w:t>
      </w:r>
      <w:bookmarkEnd w:id="12"/>
    </w:p>
    <w:p w14:paraId="33D07CA8" w14:textId="77777777" w:rsidR="00516476" w:rsidRPr="0054726C" w:rsidRDefault="00516476" w:rsidP="00516476">
      <w:pPr>
        <w:rPr>
          <w:sz w:val="24"/>
          <w:szCs w:val="24"/>
          <w:lang w:val="is-IS"/>
        </w:rPr>
      </w:pPr>
    </w:p>
    <w:p w14:paraId="33D07CA9" w14:textId="6348B3A7" w:rsidR="001D10CA" w:rsidRDefault="001D10CA" w:rsidP="001D10CA">
      <w:pPr>
        <w:jc w:val="both"/>
        <w:rPr>
          <w:lang w:val="is-IS"/>
        </w:rPr>
      </w:pPr>
      <w:r>
        <w:rPr>
          <w:lang w:val="is-IS"/>
        </w:rPr>
        <w:t xml:space="preserve">Mörk í verklýsingum fyrir bindiefnisinnihald í malbiki þjóna líklega takmörkuðum tilgangi, ef verklýsingarnar gera á annað borð ráð fyrir að malbikið sé hannað eftir Marshallaðferðinni eða öðrum svipuðum aðferðum. Öðru máli gegnir ef hönnunarþættinum er sleppt, eins og stundum gerist og bindiefnisinnihald er ákvarðað út frá leiðbeinandi gildi með hinum og þessum leiðréttingum. En sé Marshallprófið notað til að hanna malbik er markmið þess meðal annars að ákvarða bindiefnisinnihald malbiksblöndunnar og þá er takmörkunum á bindiefnisinnihaldi ofaukið í verklýsingum, nema þá helst sem vísbending um líklegt bindiefnisinnihald. </w:t>
      </w:r>
    </w:p>
    <w:p w14:paraId="33D07CAA" w14:textId="6B6E2DAA" w:rsidR="00516476" w:rsidRDefault="00516476" w:rsidP="001D10CA">
      <w:pPr>
        <w:ind w:firstLine="342"/>
        <w:jc w:val="both"/>
        <w:rPr>
          <w:lang w:val="is-IS"/>
        </w:rPr>
      </w:pPr>
      <w:r>
        <w:rPr>
          <w:lang w:val="is-IS"/>
        </w:rPr>
        <w:t xml:space="preserve">Taflan hér á eftir sýnir útdrátt úr norskum </w:t>
      </w:r>
      <w:r w:rsidR="00FF0BC9">
        <w:rPr>
          <w:lang w:val="is-IS"/>
        </w:rPr>
        <w:t>[</w:t>
      </w:r>
      <w:r>
        <w:rPr>
          <w:lang w:val="is-IS"/>
        </w:rPr>
        <w:t>Statens vegvesen 2005</w:t>
      </w:r>
      <w:r w:rsidR="00FF0BC9">
        <w:rPr>
          <w:lang w:val="is-IS"/>
        </w:rPr>
        <w:t>]</w:t>
      </w:r>
      <w:r>
        <w:rPr>
          <w:lang w:val="is-IS"/>
        </w:rPr>
        <w:t xml:space="preserve">, sænskum </w:t>
      </w:r>
      <w:r w:rsidR="00FF0BC9">
        <w:rPr>
          <w:lang w:val="is-IS"/>
        </w:rPr>
        <w:t>[</w:t>
      </w:r>
      <w:r>
        <w:rPr>
          <w:lang w:val="is-IS"/>
        </w:rPr>
        <w:t>Vägverket 2005</w:t>
      </w:r>
      <w:r w:rsidR="00FF0BC9">
        <w:rPr>
          <w:lang w:val="is-IS"/>
        </w:rPr>
        <w:t>]</w:t>
      </w:r>
      <w:r>
        <w:rPr>
          <w:lang w:val="is-IS"/>
        </w:rPr>
        <w:t xml:space="preserve"> og finnskum verklýsingum </w:t>
      </w:r>
      <w:r w:rsidR="00FF0BC9">
        <w:rPr>
          <w:lang w:val="is-IS"/>
        </w:rPr>
        <w:t>[</w:t>
      </w:r>
      <w:r>
        <w:rPr>
          <w:lang w:val="is-IS"/>
        </w:rPr>
        <w:t>PANK 2000</w:t>
      </w:r>
      <w:r w:rsidR="00FF0BC9">
        <w:rPr>
          <w:lang w:val="is-IS"/>
        </w:rPr>
        <w:t>]</w:t>
      </w:r>
      <w:r>
        <w:rPr>
          <w:lang w:val="is-IS"/>
        </w:rPr>
        <w:t xml:space="preserve"> um viðmiðunartölur fyrir bindiefnisinnihald í malbiki og mörk fyrir bindiefnisinnihald ef einhver slík eru sett. Hér er miðað við að </w:t>
      </w:r>
      <w:r w:rsidR="00E921CA">
        <w:rPr>
          <w:lang w:val="is-IS"/>
        </w:rPr>
        <w:t xml:space="preserve">bikið </w:t>
      </w:r>
      <w:r>
        <w:rPr>
          <w:lang w:val="is-IS"/>
        </w:rPr>
        <w:t>sé</w:t>
      </w:r>
      <w:r w:rsidR="00E921CA">
        <w:rPr>
          <w:lang w:val="is-IS"/>
        </w:rPr>
        <w:t xml:space="preserve"> af gerðinni PG</w:t>
      </w:r>
      <w:r>
        <w:rPr>
          <w:lang w:val="is-IS"/>
        </w:rPr>
        <w:t xml:space="preserve"> 160/220 (Svíar auka bindiefnisinnihaldið um 0,4% eða þar um bil af þyngd blöndu ef </w:t>
      </w:r>
      <w:r w:rsidR="00E921CA">
        <w:rPr>
          <w:lang w:val="is-IS"/>
        </w:rPr>
        <w:t xml:space="preserve">bik af gerðini PG </w:t>
      </w:r>
      <w:r>
        <w:rPr>
          <w:lang w:val="is-IS"/>
        </w:rPr>
        <w:t>70/100 er notað í stað</w:t>
      </w:r>
      <w:r w:rsidR="00E921CA">
        <w:rPr>
          <w:lang w:val="is-IS"/>
        </w:rPr>
        <w:t xml:space="preserve"> PG</w:t>
      </w:r>
      <w:r>
        <w:rPr>
          <w:lang w:val="is-IS"/>
        </w:rPr>
        <w:t xml:space="preserve"> 160/220). Auk þess er taflan </w:t>
      </w:r>
      <w:r w:rsidR="00FF0BC9">
        <w:rPr>
          <w:lang w:val="is-IS"/>
        </w:rPr>
        <w:t xml:space="preserve">ýmist </w:t>
      </w:r>
      <w:r>
        <w:rPr>
          <w:lang w:val="is-IS"/>
        </w:rPr>
        <w:t>miðuð við að rúmþyngd steinefnis</w:t>
      </w:r>
      <w:r w:rsidR="00235083">
        <w:rPr>
          <w:lang w:val="is-IS"/>
        </w:rPr>
        <w:t xml:space="preserve"> (Mg/m</w:t>
      </w:r>
      <w:r w:rsidR="00235083" w:rsidRPr="00235083">
        <w:rPr>
          <w:vertAlign w:val="superscript"/>
          <w:lang w:val="is-IS"/>
        </w:rPr>
        <w:t>3</w:t>
      </w:r>
      <w:r w:rsidR="00235083">
        <w:rPr>
          <w:lang w:val="is-IS"/>
        </w:rPr>
        <w:t>)</w:t>
      </w:r>
      <w:r>
        <w:rPr>
          <w:lang w:val="is-IS"/>
        </w:rPr>
        <w:t xml:space="preserve"> sé 2,65 (Noregur), 2,66 (Svíþjóð) eða 2,70 (Finnland). </w:t>
      </w:r>
    </w:p>
    <w:p w14:paraId="33D07CAB" w14:textId="77777777" w:rsidR="00707725" w:rsidRDefault="00707725" w:rsidP="00707725">
      <w:pPr>
        <w:jc w:val="both"/>
        <w:rPr>
          <w:lang w:val="is-IS"/>
        </w:rPr>
      </w:pPr>
    </w:p>
    <w:p w14:paraId="17FCA599" w14:textId="77777777" w:rsidR="00D14E7C" w:rsidRDefault="00D14E7C">
      <w:pPr>
        <w:overflowPunct/>
        <w:autoSpaceDE/>
        <w:autoSpaceDN/>
        <w:adjustRightInd/>
        <w:textAlignment w:val="auto"/>
        <w:rPr>
          <w:b/>
          <w:sz w:val="20"/>
          <w:lang w:val="is-IS"/>
        </w:rPr>
      </w:pPr>
      <w:r>
        <w:rPr>
          <w:b/>
          <w:sz w:val="20"/>
          <w:lang w:val="is-IS"/>
        </w:rPr>
        <w:br w:type="page"/>
      </w:r>
    </w:p>
    <w:p w14:paraId="33D07CAC" w14:textId="3AE53E8C" w:rsidR="00707725" w:rsidRPr="00707725" w:rsidRDefault="00707725" w:rsidP="00707725">
      <w:pPr>
        <w:spacing w:after="60"/>
        <w:ind w:left="686" w:right="714"/>
        <w:jc w:val="both"/>
        <w:rPr>
          <w:sz w:val="20"/>
          <w:lang w:val="is-IS"/>
        </w:rPr>
      </w:pPr>
      <w:r>
        <w:rPr>
          <w:b/>
          <w:sz w:val="20"/>
          <w:lang w:val="is-IS"/>
        </w:rPr>
        <w:lastRenderedPageBreak/>
        <w:t xml:space="preserve">Tafla 1. </w:t>
      </w:r>
      <w:r w:rsidRPr="00707725">
        <w:rPr>
          <w:sz w:val="20"/>
          <w:lang w:val="is-IS"/>
        </w:rPr>
        <w:t>Viðmiðunartölur</w:t>
      </w:r>
      <w:r w:rsidR="002E1B43">
        <w:rPr>
          <w:sz w:val="20"/>
          <w:lang w:val="is-IS"/>
        </w:rPr>
        <w:t xml:space="preserve"> (eldri tölur)</w:t>
      </w:r>
      <w:r w:rsidRPr="00707725">
        <w:rPr>
          <w:sz w:val="20"/>
          <w:lang w:val="is-IS"/>
        </w:rPr>
        <w:t xml:space="preserve"> fyrir bindiefnisinnihald í norsku, sænsku og finnsku malbiki ásamt hámarks- og lágmarks innihaldi af bindiefni þar sem það á við. </w:t>
      </w:r>
    </w:p>
    <w:tbl>
      <w:tblPr>
        <w:tblW w:w="0" w:type="auto"/>
        <w:jc w:val="center"/>
        <w:tblLayout w:type="fixed"/>
        <w:tblLook w:val="0000" w:firstRow="0" w:lastRow="0" w:firstColumn="0" w:lastColumn="0" w:noHBand="0" w:noVBand="0"/>
      </w:tblPr>
      <w:tblGrid>
        <w:gridCol w:w="1010"/>
        <w:gridCol w:w="1011"/>
        <w:gridCol w:w="1010"/>
        <w:gridCol w:w="1011"/>
        <w:gridCol w:w="1010"/>
        <w:gridCol w:w="1166"/>
        <w:gridCol w:w="1011"/>
      </w:tblGrid>
      <w:tr w:rsidR="00516476" w:rsidRPr="00FF0BC9" w14:paraId="33D07CB1" w14:textId="77777777" w:rsidTr="00235083">
        <w:trPr>
          <w:trHeight w:val="262"/>
          <w:jc w:val="center"/>
        </w:trPr>
        <w:tc>
          <w:tcPr>
            <w:tcW w:w="1010" w:type="dxa"/>
            <w:tcBorders>
              <w:bottom w:val="single" w:sz="4" w:space="0" w:color="auto"/>
              <w:right w:val="single" w:sz="4" w:space="0" w:color="auto"/>
            </w:tcBorders>
          </w:tcPr>
          <w:p w14:paraId="33D07CAD" w14:textId="77777777" w:rsidR="00516476" w:rsidRPr="002A03FF" w:rsidRDefault="00516476" w:rsidP="00AC28F6">
            <w:pPr>
              <w:overflowPunct/>
              <w:jc w:val="right"/>
              <w:textAlignment w:val="auto"/>
              <w:rPr>
                <w:b/>
                <w:color w:val="000000"/>
                <w:szCs w:val="22"/>
                <w:lang w:val="is-IS"/>
              </w:rPr>
            </w:pPr>
          </w:p>
        </w:tc>
        <w:tc>
          <w:tcPr>
            <w:tcW w:w="2021" w:type="dxa"/>
            <w:gridSpan w:val="2"/>
            <w:tcBorders>
              <w:top w:val="single" w:sz="2" w:space="0" w:color="000000"/>
              <w:left w:val="single" w:sz="4" w:space="0" w:color="auto"/>
              <w:bottom w:val="single" w:sz="2" w:space="0" w:color="000000"/>
              <w:right w:val="single" w:sz="2" w:space="0" w:color="000000"/>
            </w:tcBorders>
            <w:shd w:val="clear" w:color="auto" w:fill="D9E2F3" w:themeFill="accent5" w:themeFillTint="33"/>
          </w:tcPr>
          <w:p w14:paraId="33D07CAE" w14:textId="77777777" w:rsidR="00516476" w:rsidRPr="002A03FF" w:rsidRDefault="00516476" w:rsidP="00AC28F6">
            <w:pPr>
              <w:overflowPunct/>
              <w:jc w:val="center"/>
              <w:textAlignment w:val="auto"/>
              <w:rPr>
                <w:b/>
                <w:color w:val="000000"/>
                <w:szCs w:val="22"/>
                <w:lang w:val="en-US"/>
              </w:rPr>
            </w:pPr>
            <w:r w:rsidRPr="002A03FF">
              <w:rPr>
                <w:b/>
                <w:color w:val="000000"/>
                <w:szCs w:val="22"/>
                <w:lang w:val="en-US"/>
              </w:rPr>
              <w:t>Noregur</w:t>
            </w:r>
          </w:p>
        </w:tc>
        <w:tc>
          <w:tcPr>
            <w:tcW w:w="2021" w:type="dxa"/>
            <w:gridSpan w:val="2"/>
            <w:tcBorders>
              <w:top w:val="single" w:sz="2" w:space="0" w:color="000000"/>
              <w:left w:val="single" w:sz="2" w:space="0" w:color="000000"/>
              <w:bottom w:val="single" w:sz="2" w:space="0" w:color="000000"/>
              <w:right w:val="single" w:sz="2" w:space="0" w:color="000000"/>
            </w:tcBorders>
            <w:shd w:val="clear" w:color="auto" w:fill="D9E2F3" w:themeFill="accent5" w:themeFillTint="33"/>
          </w:tcPr>
          <w:p w14:paraId="33D07CAF" w14:textId="77777777" w:rsidR="00516476" w:rsidRPr="002A03FF" w:rsidRDefault="00516476" w:rsidP="00AC28F6">
            <w:pPr>
              <w:overflowPunct/>
              <w:jc w:val="center"/>
              <w:textAlignment w:val="auto"/>
              <w:rPr>
                <w:b/>
                <w:color w:val="000000"/>
                <w:szCs w:val="22"/>
                <w:lang w:val="en-US"/>
              </w:rPr>
            </w:pPr>
            <w:r w:rsidRPr="002A03FF">
              <w:rPr>
                <w:b/>
                <w:color w:val="000000"/>
                <w:szCs w:val="22"/>
                <w:lang w:val="en-US"/>
              </w:rPr>
              <w:t>Svíþjóð</w:t>
            </w:r>
            <w:r w:rsidRPr="002A03FF">
              <w:rPr>
                <w:b/>
                <w:color w:val="000000"/>
                <w:szCs w:val="22"/>
                <w:vertAlign w:val="superscript"/>
                <w:lang w:val="en-US"/>
              </w:rPr>
              <w:t>1</w:t>
            </w:r>
          </w:p>
        </w:tc>
        <w:tc>
          <w:tcPr>
            <w:tcW w:w="2177" w:type="dxa"/>
            <w:gridSpan w:val="2"/>
            <w:tcBorders>
              <w:top w:val="single" w:sz="2" w:space="0" w:color="000000"/>
              <w:left w:val="single" w:sz="2" w:space="0" w:color="000000"/>
              <w:bottom w:val="single" w:sz="2" w:space="0" w:color="000000"/>
              <w:right w:val="single" w:sz="2" w:space="0" w:color="000000"/>
            </w:tcBorders>
            <w:shd w:val="clear" w:color="auto" w:fill="D9E2F3" w:themeFill="accent5" w:themeFillTint="33"/>
          </w:tcPr>
          <w:p w14:paraId="33D07CB0" w14:textId="77777777" w:rsidR="00516476" w:rsidRPr="002A03FF" w:rsidRDefault="00516476" w:rsidP="00AC28F6">
            <w:pPr>
              <w:overflowPunct/>
              <w:jc w:val="center"/>
              <w:textAlignment w:val="auto"/>
              <w:rPr>
                <w:b/>
                <w:color w:val="000000"/>
                <w:szCs w:val="22"/>
                <w:lang w:val="en-US"/>
              </w:rPr>
            </w:pPr>
            <w:r w:rsidRPr="002A03FF">
              <w:rPr>
                <w:b/>
                <w:color w:val="000000"/>
                <w:szCs w:val="22"/>
                <w:lang w:val="en-US"/>
              </w:rPr>
              <w:t>Finnland</w:t>
            </w:r>
          </w:p>
        </w:tc>
      </w:tr>
      <w:tr w:rsidR="00516476" w:rsidRPr="00FF0BC9" w14:paraId="33D07CB9" w14:textId="77777777" w:rsidTr="00235083">
        <w:trPr>
          <w:trHeight w:val="247"/>
          <w:jc w:val="center"/>
        </w:trPr>
        <w:tc>
          <w:tcPr>
            <w:tcW w:w="1010" w:type="dxa"/>
            <w:tcBorders>
              <w:top w:val="single" w:sz="4" w:space="0" w:color="auto"/>
              <w:left w:val="single" w:sz="2" w:space="0" w:color="000000"/>
              <w:bottom w:val="single" w:sz="2" w:space="0" w:color="000000"/>
              <w:right w:val="single" w:sz="2" w:space="0" w:color="000000"/>
            </w:tcBorders>
            <w:shd w:val="clear" w:color="auto" w:fill="D9E2F3" w:themeFill="accent5" w:themeFillTint="33"/>
          </w:tcPr>
          <w:p w14:paraId="33D07CB2" w14:textId="77777777" w:rsidR="00516476" w:rsidRPr="002A03FF" w:rsidRDefault="00516476" w:rsidP="00AC28F6">
            <w:pPr>
              <w:overflowPunct/>
              <w:jc w:val="center"/>
              <w:textAlignment w:val="auto"/>
              <w:rPr>
                <w:b/>
                <w:color w:val="000000"/>
                <w:szCs w:val="22"/>
                <w:lang w:val="en-US"/>
              </w:rPr>
            </w:pPr>
            <w:r w:rsidRPr="002A03FF">
              <w:rPr>
                <w:b/>
                <w:color w:val="000000"/>
                <w:szCs w:val="22"/>
                <w:lang w:val="en-US"/>
              </w:rPr>
              <w:t>Slitlag</w:t>
            </w:r>
          </w:p>
        </w:tc>
        <w:tc>
          <w:tcPr>
            <w:tcW w:w="1011"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tcPr>
          <w:p w14:paraId="33D07CB3" w14:textId="77777777" w:rsidR="00516476" w:rsidRPr="002A03FF" w:rsidRDefault="00516476" w:rsidP="00AC28F6">
            <w:pPr>
              <w:overflowPunct/>
              <w:jc w:val="center"/>
              <w:textAlignment w:val="auto"/>
              <w:rPr>
                <w:b/>
                <w:color w:val="000000"/>
                <w:szCs w:val="22"/>
                <w:lang w:val="en-US"/>
              </w:rPr>
            </w:pPr>
            <w:r w:rsidRPr="002A03FF">
              <w:rPr>
                <w:b/>
                <w:color w:val="000000"/>
                <w:szCs w:val="22"/>
                <w:lang w:val="en-US"/>
              </w:rPr>
              <w:t>Tillaga, %</w:t>
            </w:r>
          </w:p>
        </w:tc>
        <w:tc>
          <w:tcPr>
            <w:tcW w:w="1010"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tcPr>
          <w:p w14:paraId="33D07CB4" w14:textId="77777777" w:rsidR="00516476" w:rsidRPr="002A03FF" w:rsidRDefault="00516476" w:rsidP="00AC28F6">
            <w:pPr>
              <w:overflowPunct/>
              <w:jc w:val="center"/>
              <w:textAlignment w:val="auto"/>
              <w:rPr>
                <w:b/>
                <w:color w:val="000000"/>
                <w:szCs w:val="22"/>
                <w:lang w:val="en-US"/>
              </w:rPr>
            </w:pPr>
            <w:r w:rsidRPr="002A03FF">
              <w:rPr>
                <w:b/>
                <w:color w:val="000000"/>
                <w:szCs w:val="22"/>
                <w:lang w:val="en-US"/>
              </w:rPr>
              <w:t>Mörk, %</w:t>
            </w:r>
          </w:p>
        </w:tc>
        <w:tc>
          <w:tcPr>
            <w:tcW w:w="1011"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tcPr>
          <w:p w14:paraId="33D07CB5" w14:textId="77777777" w:rsidR="00516476" w:rsidRPr="002A03FF" w:rsidRDefault="00516476" w:rsidP="00AC28F6">
            <w:pPr>
              <w:overflowPunct/>
              <w:jc w:val="center"/>
              <w:textAlignment w:val="auto"/>
              <w:rPr>
                <w:b/>
                <w:color w:val="000000"/>
                <w:szCs w:val="22"/>
                <w:lang w:val="en-US"/>
              </w:rPr>
            </w:pPr>
            <w:r w:rsidRPr="002A03FF">
              <w:rPr>
                <w:b/>
                <w:color w:val="000000"/>
                <w:szCs w:val="22"/>
                <w:lang w:val="en-US"/>
              </w:rPr>
              <w:t>Tillaga, %</w:t>
            </w:r>
          </w:p>
        </w:tc>
        <w:tc>
          <w:tcPr>
            <w:tcW w:w="1010"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tcPr>
          <w:p w14:paraId="33D07CB6" w14:textId="77777777" w:rsidR="00516476" w:rsidRPr="002A03FF" w:rsidRDefault="00516476" w:rsidP="00AC28F6">
            <w:pPr>
              <w:overflowPunct/>
              <w:jc w:val="center"/>
              <w:textAlignment w:val="auto"/>
              <w:rPr>
                <w:b/>
                <w:color w:val="000000"/>
                <w:szCs w:val="22"/>
                <w:lang w:val="en-US"/>
              </w:rPr>
            </w:pPr>
            <w:r w:rsidRPr="002A03FF">
              <w:rPr>
                <w:b/>
                <w:color w:val="000000"/>
                <w:szCs w:val="22"/>
                <w:lang w:val="en-US"/>
              </w:rPr>
              <w:t>Mörk, %</w:t>
            </w:r>
          </w:p>
        </w:tc>
        <w:tc>
          <w:tcPr>
            <w:tcW w:w="1166"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tcPr>
          <w:p w14:paraId="33D07CB7" w14:textId="77777777" w:rsidR="00516476" w:rsidRPr="002A03FF" w:rsidRDefault="00516476" w:rsidP="00AC28F6">
            <w:pPr>
              <w:overflowPunct/>
              <w:jc w:val="center"/>
              <w:textAlignment w:val="auto"/>
              <w:rPr>
                <w:b/>
                <w:color w:val="000000"/>
                <w:szCs w:val="22"/>
                <w:lang w:val="en-US"/>
              </w:rPr>
            </w:pPr>
            <w:r w:rsidRPr="002A03FF">
              <w:rPr>
                <w:b/>
                <w:color w:val="000000"/>
                <w:szCs w:val="22"/>
                <w:lang w:val="en-US"/>
              </w:rPr>
              <w:t>VFB</w:t>
            </w:r>
            <w:r w:rsidRPr="002A03FF">
              <w:rPr>
                <w:b/>
                <w:color w:val="000000"/>
                <w:szCs w:val="22"/>
                <w:vertAlign w:val="superscript"/>
                <w:lang w:val="en-US"/>
              </w:rPr>
              <w:t>2</w:t>
            </w:r>
            <w:r w:rsidRPr="002A03FF">
              <w:rPr>
                <w:b/>
                <w:color w:val="000000"/>
                <w:szCs w:val="22"/>
                <w:lang w:val="en-US"/>
              </w:rPr>
              <w:t>, %</w:t>
            </w:r>
          </w:p>
        </w:tc>
        <w:tc>
          <w:tcPr>
            <w:tcW w:w="1011"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tcPr>
          <w:p w14:paraId="33D07CB8" w14:textId="77777777" w:rsidR="00516476" w:rsidRPr="002A03FF" w:rsidRDefault="00516476" w:rsidP="00AC28F6">
            <w:pPr>
              <w:overflowPunct/>
              <w:jc w:val="center"/>
              <w:textAlignment w:val="auto"/>
              <w:rPr>
                <w:b/>
                <w:color w:val="000000"/>
                <w:szCs w:val="22"/>
                <w:lang w:val="en-US"/>
              </w:rPr>
            </w:pPr>
            <w:r w:rsidRPr="002A03FF">
              <w:rPr>
                <w:b/>
                <w:color w:val="000000"/>
                <w:szCs w:val="22"/>
                <w:lang w:val="en-US"/>
              </w:rPr>
              <w:t>Mörk, %</w:t>
            </w:r>
          </w:p>
        </w:tc>
      </w:tr>
      <w:tr w:rsidR="00516476" w:rsidRPr="00FF0BC9" w14:paraId="33D07CC1" w14:textId="77777777" w:rsidTr="00235083">
        <w:trPr>
          <w:trHeight w:val="247"/>
          <w:jc w:val="center"/>
        </w:trPr>
        <w:tc>
          <w:tcPr>
            <w:tcW w:w="1010"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tcPr>
          <w:p w14:paraId="33D07CBA" w14:textId="7CDAC432" w:rsidR="00516476" w:rsidRPr="00FF0BC9" w:rsidRDefault="00516476" w:rsidP="00AC28F6">
            <w:pPr>
              <w:overflowPunct/>
              <w:textAlignment w:val="auto"/>
              <w:rPr>
                <w:color w:val="000000"/>
                <w:szCs w:val="22"/>
                <w:lang w:val="en-US"/>
              </w:rPr>
            </w:pPr>
            <w:r w:rsidRPr="00FF0BC9">
              <w:rPr>
                <w:color w:val="000000"/>
                <w:szCs w:val="22"/>
                <w:lang w:val="en-US"/>
              </w:rPr>
              <w:t>YFL 8</w:t>
            </w:r>
          </w:p>
        </w:tc>
        <w:tc>
          <w:tcPr>
            <w:tcW w:w="101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BB"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6,2</w:t>
            </w:r>
          </w:p>
        </w:tc>
        <w:tc>
          <w:tcPr>
            <w:tcW w:w="1010"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BC"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w:t>
            </w:r>
          </w:p>
        </w:tc>
        <w:tc>
          <w:tcPr>
            <w:tcW w:w="101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BD"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6,3</w:t>
            </w:r>
          </w:p>
        </w:tc>
        <w:tc>
          <w:tcPr>
            <w:tcW w:w="1010"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BE"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6,0-6,6</w:t>
            </w:r>
          </w:p>
        </w:tc>
        <w:tc>
          <w:tcPr>
            <w:tcW w:w="1166"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BF"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80-90 (85)</w:t>
            </w:r>
          </w:p>
        </w:tc>
        <w:tc>
          <w:tcPr>
            <w:tcW w:w="101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C0"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5,4-6,4</w:t>
            </w:r>
          </w:p>
        </w:tc>
      </w:tr>
      <w:tr w:rsidR="00516476" w:rsidRPr="00FF0BC9" w14:paraId="33D07CC9" w14:textId="77777777" w:rsidTr="00235083">
        <w:trPr>
          <w:trHeight w:val="247"/>
          <w:jc w:val="center"/>
        </w:trPr>
        <w:tc>
          <w:tcPr>
            <w:tcW w:w="1010"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tcPr>
          <w:p w14:paraId="33D07CC2" w14:textId="77777777" w:rsidR="00516476" w:rsidRPr="00FF0BC9" w:rsidRDefault="00516476" w:rsidP="00AC28F6">
            <w:pPr>
              <w:overflowPunct/>
              <w:textAlignment w:val="auto"/>
              <w:rPr>
                <w:color w:val="000000"/>
                <w:szCs w:val="22"/>
                <w:lang w:val="en-US"/>
              </w:rPr>
            </w:pPr>
            <w:r w:rsidRPr="00FF0BC9">
              <w:rPr>
                <w:color w:val="000000"/>
                <w:szCs w:val="22"/>
                <w:lang w:val="en-US"/>
              </w:rPr>
              <w:t>YFL 11</w:t>
            </w:r>
          </w:p>
        </w:tc>
        <w:tc>
          <w:tcPr>
            <w:tcW w:w="101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C3"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5,9</w:t>
            </w:r>
          </w:p>
        </w:tc>
        <w:tc>
          <w:tcPr>
            <w:tcW w:w="1010"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C4"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w:t>
            </w:r>
          </w:p>
        </w:tc>
        <w:tc>
          <w:tcPr>
            <w:tcW w:w="101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C5"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6,2</w:t>
            </w:r>
          </w:p>
        </w:tc>
        <w:tc>
          <w:tcPr>
            <w:tcW w:w="1010"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C6"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5,9-6,5</w:t>
            </w:r>
          </w:p>
        </w:tc>
        <w:tc>
          <w:tcPr>
            <w:tcW w:w="1166"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C7"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80-90 (85)</w:t>
            </w:r>
          </w:p>
        </w:tc>
        <w:tc>
          <w:tcPr>
            <w:tcW w:w="101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C8"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5,2-6,2</w:t>
            </w:r>
          </w:p>
        </w:tc>
      </w:tr>
      <w:tr w:rsidR="00516476" w:rsidRPr="00FF0BC9" w14:paraId="33D07CD1" w14:textId="77777777" w:rsidTr="00235083">
        <w:trPr>
          <w:trHeight w:val="247"/>
          <w:jc w:val="center"/>
        </w:trPr>
        <w:tc>
          <w:tcPr>
            <w:tcW w:w="1010"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tcPr>
          <w:p w14:paraId="33D07CCA" w14:textId="77777777" w:rsidR="00516476" w:rsidRPr="00FF0BC9" w:rsidRDefault="00516476" w:rsidP="00AC28F6">
            <w:pPr>
              <w:overflowPunct/>
              <w:textAlignment w:val="auto"/>
              <w:rPr>
                <w:color w:val="000000"/>
                <w:szCs w:val="22"/>
                <w:lang w:val="en-US"/>
              </w:rPr>
            </w:pPr>
            <w:r w:rsidRPr="00FF0BC9">
              <w:rPr>
                <w:color w:val="000000"/>
                <w:szCs w:val="22"/>
                <w:lang w:val="en-US"/>
              </w:rPr>
              <w:t>YFL 16</w:t>
            </w:r>
          </w:p>
        </w:tc>
        <w:tc>
          <w:tcPr>
            <w:tcW w:w="101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CB"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5,6</w:t>
            </w:r>
          </w:p>
        </w:tc>
        <w:tc>
          <w:tcPr>
            <w:tcW w:w="1010"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CC"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w:t>
            </w:r>
          </w:p>
        </w:tc>
        <w:tc>
          <w:tcPr>
            <w:tcW w:w="101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CD"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6,0</w:t>
            </w:r>
          </w:p>
        </w:tc>
        <w:tc>
          <w:tcPr>
            <w:tcW w:w="1010"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CE"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5,7-6,3</w:t>
            </w:r>
          </w:p>
        </w:tc>
        <w:tc>
          <w:tcPr>
            <w:tcW w:w="1166"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CF"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80-90 (85)</w:t>
            </w:r>
          </w:p>
        </w:tc>
        <w:tc>
          <w:tcPr>
            <w:tcW w:w="101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D0"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5,0-6,0</w:t>
            </w:r>
          </w:p>
        </w:tc>
      </w:tr>
      <w:tr w:rsidR="00516476" w:rsidRPr="00FF0BC9" w14:paraId="33D07CD9" w14:textId="77777777" w:rsidTr="00235083">
        <w:trPr>
          <w:trHeight w:val="247"/>
          <w:jc w:val="center"/>
        </w:trPr>
        <w:tc>
          <w:tcPr>
            <w:tcW w:w="1010"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tcPr>
          <w:p w14:paraId="33D07CD2" w14:textId="77777777" w:rsidR="00516476" w:rsidRPr="00FF0BC9" w:rsidRDefault="00516476" w:rsidP="00AC28F6">
            <w:pPr>
              <w:overflowPunct/>
              <w:textAlignment w:val="auto"/>
              <w:rPr>
                <w:color w:val="000000"/>
                <w:szCs w:val="22"/>
                <w:lang w:val="en-US"/>
              </w:rPr>
            </w:pPr>
            <w:r w:rsidRPr="00FF0BC9">
              <w:rPr>
                <w:color w:val="000000"/>
                <w:szCs w:val="22"/>
                <w:lang w:val="en-US"/>
              </w:rPr>
              <w:t>SMA 8</w:t>
            </w:r>
          </w:p>
        </w:tc>
        <w:tc>
          <w:tcPr>
            <w:tcW w:w="101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D3"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6,7</w:t>
            </w:r>
          </w:p>
        </w:tc>
        <w:tc>
          <w:tcPr>
            <w:tcW w:w="1010"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D4"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w:t>
            </w:r>
          </w:p>
        </w:tc>
        <w:tc>
          <w:tcPr>
            <w:tcW w:w="101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D5"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6,5</w:t>
            </w:r>
          </w:p>
        </w:tc>
        <w:tc>
          <w:tcPr>
            <w:tcW w:w="1010"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D6"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5,9-7,4</w:t>
            </w:r>
          </w:p>
        </w:tc>
        <w:tc>
          <w:tcPr>
            <w:tcW w:w="1166"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D7"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80-90 (85)</w:t>
            </w:r>
          </w:p>
        </w:tc>
        <w:tc>
          <w:tcPr>
            <w:tcW w:w="101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D8"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7,0-8,0</w:t>
            </w:r>
          </w:p>
        </w:tc>
      </w:tr>
      <w:tr w:rsidR="00516476" w:rsidRPr="00FF0BC9" w14:paraId="33D07CE1" w14:textId="77777777" w:rsidTr="00235083">
        <w:trPr>
          <w:trHeight w:val="247"/>
          <w:jc w:val="center"/>
        </w:trPr>
        <w:tc>
          <w:tcPr>
            <w:tcW w:w="1010"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tcPr>
          <w:p w14:paraId="33D07CDA" w14:textId="77777777" w:rsidR="00516476" w:rsidRPr="00FF0BC9" w:rsidRDefault="00516476" w:rsidP="00AC28F6">
            <w:pPr>
              <w:overflowPunct/>
              <w:textAlignment w:val="auto"/>
              <w:rPr>
                <w:color w:val="000000"/>
                <w:szCs w:val="22"/>
                <w:lang w:val="en-US"/>
              </w:rPr>
            </w:pPr>
            <w:r w:rsidRPr="00FF0BC9">
              <w:rPr>
                <w:color w:val="000000"/>
                <w:szCs w:val="22"/>
                <w:lang w:val="en-US"/>
              </w:rPr>
              <w:t>SMA 11</w:t>
            </w:r>
          </w:p>
        </w:tc>
        <w:tc>
          <w:tcPr>
            <w:tcW w:w="101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DB"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6,3</w:t>
            </w:r>
          </w:p>
        </w:tc>
        <w:tc>
          <w:tcPr>
            <w:tcW w:w="1010"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DC"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w:t>
            </w:r>
          </w:p>
        </w:tc>
        <w:tc>
          <w:tcPr>
            <w:tcW w:w="101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DD"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6,2</w:t>
            </w:r>
          </w:p>
        </w:tc>
        <w:tc>
          <w:tcPr>
            <w:tcW w:w="1010"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DE"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5,7-7,2</w:t>
            </w:r>
          </w:p>
        </w:tc>
        <w:tc>
          <w:tcPr>
            <w:tcW w:w="1166"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DF"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80-90 (85)</w:t>
            </w:r>
          </w:p>
        </w:tc>
        <w:tc>
          <w:tcPr>
            <w:tcW w:w="101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E0"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6,5-7,5</w:t>
            </w:r>
          </w:p>
        </w:tc>
      </w:tr>
      <w:tr w:rsidR="00516476" w:rsidRPr="00FF0BC9" w14:paraId="33D07CE9" w14:textId="77777777" w:rsidTr="00235083">
        <w:trPr>
          <w:trHeight w:val="247"/>
          <w:jc w:val="center"/>
        </w:trPr>
        <w:tc>
          <w:tcPr>
            <w:tcW w:w="1010"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tcPr>
          <w:p w14:paraId="33D07CE2" w14:textId="77777777" w:rsidR="00516476" w:rsidRPr="00FF0BC9" w:rsidRDefault="00516476" w:rsidP="00AC28F6">
            <w:pPr>
              <w:overflowPunct/>
              <w:textAlignment w:val="auto"/>
              <w:rPr>
                <w:color w:val="000000"/>
                <w:szCs w:val="22"/>
                <w:lang w:val="en-US"/>
              </w:rPr>
            </w:pPr>
            <w:r w:rsidRPr="00FF0BC9">
              <w:rPr>
                <w:color w:val="000000"/>
                <w:szCs w:val="22"/>
                <w:lang w:val="en-US"/>
              </w:rPr>
              <w:t>SMA 16</w:t>
            </w:r>
          </w:p>
        </w:tc>
        <w:tc>
          <w:tcPr>
            <w:tcW w:w="101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E3"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6,0</w:t>
            </w:r>
          </w:p>
        </w:tc>
        <w:tc>
          <w:tcPr>
            <w:tcW w:w="1010"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E4"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w:t>
            </w:r>
          </w:p>
        </w:tc>
        <w:tc>
          <w:tcPr>
            <w:tcW w:w="101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E5"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6,1</w:t>
            </w:r>
          </w:p>
        </w:tc>
        <w:tc>
          <w:tcPr>
            <w:tcW w:w="1010"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E6"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5,5-7,0</w:t>
            </w:r>
          </w:p>
        </w:tc>
        <w:tc>
          <w:tcPr>
            <w:tcW w:w="1166"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E7"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80-90 (85)</w:t>
            </w:r>
          </w:p>
        </w:tc>
        <w:tc>
          <w:tcPr>
            <w:tcW w:w="101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E8"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6,0-7,0</w:t>
            </w:r>
          </w:p>
        </w:tc>
      </w:tr>
      <w:tr w:rsidR="00516476" w:rsidRPr="00FF0BC9" w14:paraId="33D07CF1" w14:textId="77777777" w:rsidTr="00235083">
        <w:trPr>
          <w:trHeight w:val="247"/>
          <w:jc w:val="center"/>
        </w:trPr>
        <w:tc>
          <w:tcPr>
            <w:tcW w:w="1010"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tcPr>
          <w:p w14:paraId="33D07CEA" w14:textId="77777777" w:rsidR="00516476" w:rsidRPr="00FF0BC9" w:rsidRDefault="00516476" w:rsidP="00AC28F6">
            <w:pPr>
              <w:overflowPunct/>
              <w:textAlignment w:val="auto"/>
              <w:rPr>
                <w:color w:val="000000"/>
                <w:szCs w:val="22"/>
                <w:lang w:val="en-US"/>
              </w:rPr>
            </w:pPr>
            <w:r w:rsidRPr="00FF0BC9">
              <w:rPr>
                <w:color w:val="000000"/>
                <w:szCs w:val="22"/>
                <w:lang w:val="en-US"/>
              </w:rPr>
              <w:t>BNL 11</w:t>
            </w:r>
          </w:p>
        </w:tc>
        <w:tc>
          <w:tcPr>
            <w:tcW w:w="101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EB"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5,6</w:t>
            </w:r>
          </w:p>
        </w:tc>
        <w:tc>
          <w:tcPr>
            <w:tcW w:w="1010"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EC"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w:t>
            </w:r>
          </w:p>
        </w:tc>
        <w:tc>
          <w:tcPr>
            <w:tcW w:w="101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ED"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5,2</w:t>
            </w:r>
          </w:p>
        </w:tc>
        <w:tc>
          <w:tcPr>
            <w:tcW w:w="1010"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EE"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4,7-5,7</w:t>
            </w:r>
          </w:p>
        </w:tc>
        <w:tc>
          <w:tcPr>
            <w:tcW w:w="1166"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EF"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w:t>
            </w:r>
          </w:p>
        </w:tc>
        <w:tc>
          <w:tcPr>
            <w:tcW w:w="101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F0"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w:t>
            </w:r>
          </w:p>
        </w:tc>
      </w:tr>
      <w:tr w:rsidR="00516476" w:rsidRPr="00FF0BC9" w14:paraId="33D07CF9" w14:textId="77777777" w:rsidTr="00235083">
        <w:trPr>
          <w:trHeight w:val="247"/>
          <w:jc w:val="center"/>
        </w:trPr>
        <w:tc>
          <w:tcPr>
            <w:tcW w:w="1010"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tcPr>
          <w:p w14:paraId="33D07CF2" w14:textId="77777777" w:rsidR="00516476" w:rsidRPr="00FF0BC9" w:rsidRDefault="00516476" w:rsidP="00AC28F6">
            <w:pPr>
              <w:overflowPunct/>
              <w:textAlignment w:val="auto"/>
              <w:rPr>
                <w:color w:val="000000"/>
                <w:szCs w:val="22"/>
                <w:lang w:val="en-US"/>
              </w:rPr>
            </w:pPr>
            <w:r w:rsidRPr="00FF0BC9">
              <w:rPr>
                <w:color w:val="000000"/>
                <w:szCs w:val="22"/>
                <w:lang w:val="en-US"/>
              </w:rPr>
              <w:t>BNL 16</w:t>
            </w:r>
          </w:p>
        </w:tc>
        <w:tc>
          <w:tcPr>
            <w:tcW w:w="101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F3"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5,4</w:t>
            </w:r>
          </w:p>
        </w:tc>
        <w:tc>
          <w:tcPr>
            <w:tcW w:w="1010"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F4"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w:t>
            </w:r>
          </w:p>
        </w:tc>
        <w:tc>
          <w:tcPr>
            <w:tcW w:w="101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F5"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5,0</w:t>
            </w:r>
          </w:p>
        </w:tc>
        <w:tc>
          <w:tcPr>
            <w:tcW w:w="1010"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F6"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4,5-5,5</w:t>
            </w:r>
          </w:p>
        </w:tc>
        <w:tc>
          <w:tcPr>
            <w:tcW w:w="1166"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F7"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w:t>
            </w:r>
          </w:p>
        </w:tc>
        <w:tc>
          <w:tcPr>
            <w:tcW w:w="101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F8"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w:t>
            </w:r>
          </w:p>
        </w:tc>
      </w:tr>
      <w:tr w:rsidR="00516476" w:rsidRPr="00FF0BC9" w14:paraId="33D07D01" w14:textId="77777777" w:rsidTr="00235083">
        <w:trPr>
          <w:trHeight w:val="247"/>
          <w:jc w:val="center"/>
        </w:trPr>
        <w:tc>
          <w:tcPr>
            <w:tcW w:w="1010"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tcPr>
          <w:p w14:paraId="33D07CFA" w14:textId="77777777" w:rsidR="00516476" w:rsidRPr="00FF0BC9" w:rsidRDefault="00516476" w:rsidP="00AC28F6">
            <w:pPr>
              <w:overflowPunct/>
              <w:textAlignment w:val="auto"/>
              <w:rPr>
                <w:color w:val="000000"/>
                <w:szCs w:val="22"/>
                <w:lang w:val="en-US"/>
              </w:rPr>
            </w:pPr>
            <w:r w:rsidRPr="00FF0BC9">
              <w:rPr>
                <w:color w:val="000000"/>
                <w:szCs w:val="22"/>
                <w:lang w:val="en-US"/>
              </w:rPr>
              <w:t>BRL 16</w:t>
            </w:r>
          </w:p>
        </w:tc>
        <w:tc>
          <w:tcPr>
            <w:tcW w:w="101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FB"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4,5</w:t>
            </w:r>
          </w:p>
        </w:tc>
        <w:tc>
          <w:tcPr>
            <w:tcW w:w="1010"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FC"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w:t>
            </w:r>
          </w:p>
        </w:tc>
        <w:tc>
          <w:tcPr>
            <w:tcW w:w="101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FD"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4,8</w:t>
            </w:r>
          </w:p>
        </w:tc>
        <w:tc>
          <w:tcPr>
            <w:tcW w:w="1010"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FE"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4,5-5,5</w:t>
            </w:r>
          </w:p>
        </w:tc>
        <w:tc>
          <w:tcPr>
            <w:tcW w:w="1166"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CFF"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w:t>
            </w:r>
          </w:p>
        </w:tc>
        <w:tc>
          <w:tcPr>
            <w:tcW w:w="101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D00"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w:t>
            </w:r>
          </w:p>
        </w:tc>
      </w:tr>
      <w:tr w:rsidR="00516476" w:rsidRPr="00FF0BC9" w14:paraId="33D07D09" w14:textId="77777777" w:rsidTr="00235083">
        <w:trPr>
          <w:trHeight w:val="247"/>
          <w:jc w:val="center"/>
        </w:trPr>
        <w:tc>
          <w:tcPr>
            <w:tcW w:w="1010"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tcPr>
          <w:p w14:paraId="33D07D02" w14:textId="77777777" w:rsidR="00516476" w:rsidRPr="00FF0BC9" w:rsidRDefault="00516476" w:rsidP="00AC28F6">
            <w:pPr>
              <w:overflowPunct/>
              <w:textAlignment w:val="auto"/>
              <w:rPr>
                <w:color w:val="000000"/>
                <w:szCs w:val="22"/>
                <w:lang w:val="en-US"/>
              </w:rPr>
            </w:pPr>
            <w:r w:rsidRPr="00FF0BC9">
              <w:rPr>
                <w:color w:val="000000"/>
                <w:szCs w:val="22"/>
                <w:lang w:val="en-US"/>
              </w:rPr>
              <w:t>BRL 22</w:t>
            </w:r>
          </w:p>
        </w:tc>
        <w:tc>
          <w:tcPr>
            <w:tcW w:w="101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D03"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4,5</w:t>
            </w:r>
          </w:p>
        </w:tc>
        <w:tc>
          <w:tcPr>
            <w:tcW w:w="1010"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D04"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w:t>
            </w:r>
          </w:p>
        </w:tc>
        <w:tc>
          <w:tcPr>
            <w:tcW w:w="101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D05"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4,5</w:t>
            </w:r>
          </w:p>
        </w:tc>
        <w:tc>
          <w:tcPr>
            <w:tcW w:w="1010"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D06"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4,2-5,2</w:t>
            </w:r>
          </w:p>
        </w:tc>
        <w:tc>
          <w:tcPr>
            <w:tcW w:w="1166"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D07"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80-90 (85)</w:t>
            </w:r>
          </w:p>
        </w:tc>
        <w:tc>
          <w:tcPr>
            <w:tcW w:w="101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D08"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4,2-5,2</w:t>
            </w:r>
          </w:p>
        </w:tc>
      </w:tr>
      <w:tr w:rsidR="00516476" w:rsidRPr="00FF0BC9" w14:paraId="33D07D11" w14:textId="77777777" w:rsidTr="00235083">
        <w:trPr>
          <w:trHeight w:val="247"/>
          <w:jc w:val="center"/>
        </w:trPr>
        <w:tc>
          <w:tcPr>
            <w:tcW w:w="1010"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tcPr>
          <w:p w14:paraId="33D07D0A" w14:textId="77777777" w:rsidR="00516476" w:rsidRPr="00FF0BC9" w:rsidRDefault="00516476" w:rsidP="00AC28F6">
            <w:pPr>
              <w:overflowPunct/>
              <w:textAlignment w:val="auto"/>
              <w:rPr>
                <w:color w:val="000000"/>
                <w:szCs w:val="22"/>
                <w:lang w:val="en-US"/>
              </w:rPr>
            </w:pPr>
            <w:r w:rsidRPr="00FF0BC9">
              <w:rPr>
                <w:color w:val="000000"/>
                <w:szCs w:val="22"/>
                <w:lang w:val="en-US"/>
              </w:rPr>
              <w:t>BRL 32</w:t>
            </w:r>
          </w:p>
        </w:tc>
        <w:tc>
          <w:tcPr>
            <w:tcW w:w="101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D0B"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4,5</w:t>
            </w:r>
          </w:p>
        </w:tc>
        <w:tc>
          <w:tcPr>
            <w:tcW w:w="1010"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D0C"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w:t>
            </w:r>
          </w:p>
        </w:tc>
        <w:tc>
          <w:tcPr>
            <w:tcW w:w="101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D0D"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4,0</w:t>
            </w:r>
          </w:p>
        </w:tc>
        <w:tc>
          <w:tcPr>
            <w:tcW w:w="1010"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D0E"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3,7-4,7</w:t>
            </w:r>
          </w:p>
        </w:tc>
        <w:tc>
          <w:tcPr>
            <w:tcW w:w="1166"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D0F"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80-90 (85)</w:t>
            </w:r>
          </w:p>
        </w:tc>
        <w:tc>
          <w:tcPr>
            <w:tcW w:w="101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33D07D10"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3,8-4,8</w:t>
            </w:r>
          </w:p>
        </w:tc>
      </w:tr>
      <w:tr w:rsidR="00516476" w:rsidRPr="00FF0BC9" w14:paraId="33D07D14" w14:textId="77777777">
        <w:trPr>
          <w:trHeight w:val="247"/>
          <w:jc w:val="center"/>
        </w:trPr>
        <w:tc>
          <w:tcPr>
            <w:tcW w:w="7229" w:type="dxa"/>
            <w:gridSpan w:val="7"/>
            <w:tcBorders>
              <w:top w:val="single" w:sz="2" w:space="0" w:color="000000"/>
              <w:left w:val="single" w:sz="2" w:space="0" w:color="000000"/>
              <w:bottom w:val="single" w:sz="2" w:space="0" w:color="000000"/>
              <w:right w:val="single" w:sz="2" w:space="0" w:color="000000"/>
            </w:tcBorders>
          </w:tcPr>
          <w:p w14:paraId="33D07D12" w14:textId="77777777" w:rsidR="00516476" w:rsidRPr="00FF0BC9" w:rsidRDefault="00516476" w:rsidP="00AC28F6">
            <w:pPr>
              <w:overflowPunct/>
              <w:jc w:val="center"/>
              <w:textAlignment w:val="auto"/>
              <w:rPr>
                <w:color w:val="000000"/>
                <w:sz w:val="18"/>
                <w:szCs w:val="18"/>
                <w:lang w:val="en-US"/>
              </w:rPr>
            </w:pPr>
            <w:r w:rsidRPr="00FF0BC9">
              <w:rPr>
                <w:color w:val="000000"/>
                <w:sz w:val="18"/>
                <w:szCs w:val="18"/>
                <w:vertAlign w:val="superscript"/>
                <w:lang w:val="en-US"/>
              </w:rPr>
              <w:t>1</w:t>
            </w:r>
            <w:r w:rsidRPr="00FF0BC9">
              <w:rPr>
                <w:color w:val="000000"/>
                <w:sz w:val="18"/>
                <w:szCs w:val="18"/>
                <w:lang w:val="en-US"/>
              </w:rPr>
              <w:t xml:space="preserve"> Þessi gildi eru mismunandi eftir stungudýpt bindiefnisins, hér eru tekin gildin fyrir 160/220.</w:t>
            </w:r>
          </w:p>
          <w:p w14:paraId="33D07D13" w14:textId="40A1C7CE" w:rsidR="00516476" w:rsidRPr="00FF0BC9" w:rsidRDefault="00516476" w:rsidP="00AC28F6">
            <w:pPr>
              <w:overflowPunct/>
              <w:jc w:val="center"/>
              <w:textAlignment w:val="auto"/>
              <w:rPr>
                <w:color w:val="000000"/>
                <w:szCs w:val="22"/>
                <w:lang w:val="en-US"/>
              </w:rPr>
            </w:pPr>
            <w:r w:rsidRPr="00FF0BC9">
              <w:rPr>
                <w:color w:val="000000"/>
                <w:sz w:val="18"/>
                <w:szCs w:val="18"/>
                <w:vertAlign w:val="superscript"/>
                <w:lang w:val="en-US"/>
              </w:rPr>
              <w:t>2</w:t>
            </w:r>
            <w:r w:rsidRPr="00FF0BC9">
              <w:rPr>
                <w:color w:val="000000"/>
                <w:sz w:val="18"/>
                <w:szCs w:val="18"/>
                <w:lang w:val="en-US"/>
              </w:rPr>
              <w:t xml:space="preserve"> VF</w:t>
            </w:r>
            <w:r w:rsidR="00235083">
              <w:rPr>
                <w:color w:val="000000"/>
                <w:sz w:val="18"/>
                <w:szCs w:val="18"/>
                <w:lang w:val="en-US"/>
              </w:rPr>
              <w:t>B</w:t>
            </w:r>
            <w:r w:rsidRPr="00FF0BC9">
              <w:rPr>
                <w:color w:val="000000"/>
                <w:sz w:val="18"/>
                <w:szCs w:val="18"/>
                <w:lang w:val="en-US"/>
              </w:rPr>
              <w:t xml:space="preserve"> (</w:t>
            </w:r>
            <w:r w:rsidR="00235083">
              <w:rPr>
                <w:color w:val="000000"/>
                <w:sz w:val="18"/>
                <w:szCs w:val="18"/>
                <w:lang w:val="en-US"/>
              </w:rPr>
              <w:t>bik</w:t>
            </w:r>
            <w:r w:rsidRPr="00FF0BC9">
              <w:rPr>
                <w:color w:val="000000"/>
                <w:sz w:val="18"/>
                <w:szCs w:val="18"/>
                <w:lang w:val="en-US"/>
              </w:rPr>
              <w:t>fyllt holrýmd) er hönnunarforsenda í finnskum verklýsingum</w:t>
            </w:r>
            <w:r w:rsidR="00FF0BC9" w:rsidRPr="00FF0BC9">
              <w:rPr>
                <w:color w:val="000000"/>
                <w:sz w:val="18"/>
                <w:szCs w:val="18"/>
                <w:lang w:val="en-US"/>
              </w:rPr>
              <w:t>, viðmiðunargildi í sviga</w:t>
            </w:r>
            <w:r w:rsidRPr="00FF0BC9">
              <w:rPr>
                <w:color w:val="000000"/>
                <w:sz w:val="18"/>
                <w:szCs w:val="18"/>
                <w:lang w:val="en-US"/>
              </w:rPr>
              <w:t>.</w:t>
            </w:r>
          </w:p>
        </w:tc>
      </w:tr>
    </w:tbl>
    <w:p w14:paraId="33D07D15" w14:textId="77777777" w:rsidR="00516476" w:rsidRPr="003C131F" w:rsidRDefault="00516476" w:rsidP="00516476">
      <w:pPr>
        <w:spacing w:after="60"/>
        <w:jc w:val="both"/>
        <w:rPr>
          <w:b/>
          <w:sz w:val="20"/>
          <w:lang w:val="is-IS"/>
        </w:rPr>
      </w:pPr>
    </w:p>
    <w:p w14:paraId="33D07D16" w14:textId="2545C866" w:rsidR="00516476" w:rsidRPr="00C45043" w:rsidRDefault="00516476" w:rsidP="00707725">
      <w:pPr>
        <w:jc w:val="both"/>
        <w:rPr>
          <w:szCs w:val="22"/>
          <w:lang w:val="is-IS"/>
        </w:rPr>
      </w:pPr>
      <w:r>
        <w:rPr>
          <w:lang w:val="is-IS"/>
        </w:rPr>
        <w:t>Sennilega er rúmþyngd íslenskra steinefna (blöndu) sem notuð eru á höfuðborgarsvæðinu í grennd við 2,85</w:t>
      </w:r>
      <w:r w:rsidR="00235083">
        <w:rPr>
          <w:lang w:val="is-IS"/>
        </w:rPr>
        <w:t xml:space="preserve"> Mg/m</w:t>
      </w:r>
      <w:r w:rsidR="00235083" w:rsidRPr="00235083">
        <w:rPr>
          <w:vertAlign w:val="superscript"/>
          <w:lang w:val="is-IS"/>
        </w:rPr>
        <w:t>3</w:t>
      </w:r>
      <w:r>
        <w:rPr>
          <w:lang w:val="is-IS"/>
        </w:rPr>
        <w:t>. Af því leiðir að bindiefnisinnihald</w:t>
      </w:r>
      <w:r w:rsidR="00FF0BC9">
        <w:rPr>
          <w:lang w:val="is-IS"/>
        </w:rPr>
        <w:t>i</w:t>
      </w:r>
      <w:r>
        <w:rPr>
          <w:lang w:val="is-IS"/>
        </w:rPr>
        <w:t>ð í töflunni þarf að lækka um það bil með hlutfallinu 2,66/2,85 eða 0,93 af þessari ástæðu einni til að bindiefnisinnihaldið sé sambærilegt við það sem gerist í Noregi, Svíþjóð og Finnlandi. Þetta svarar um það bil til 0,4 prósentustiga í bindiefnisinnihaldi. Á hinn bóginn eru íslensk steinefni meira eða minna gropin og hluti bindiefnisins fer í að fylla gropur í steinefninu</w:t>
      </w:r>
      <w:r w:rsidR="00235083">
        <w:rPr>
          <w:lang w:val="is-IS"/>
        </w:rPr>
        <w:t>, þ.e.a.s. ef notuð eru íslensk, gropin steinefni en ekki innflutt, þétt steinefni</w:t>
      </w:r>
      <w:r>
        <w:rPr>
          <w:lang w:val="is-IS"/>
        </w:rPr>
        <w:t xml:space="preserve">. Lauslega áætlað má gera ráð fyrir að þyngd bindiefnis sem til þess þurfi sé að lágmarki 0,5% og að hámarki 1,5% af þyngd blöndunnar. Í undantekningartilfellum er viðbótarþörfin líklega enn meiri, eins og til dæmis í malbiki úr Rauðamels- eða Stapafellsefni </w:t>
      </w:r>
      <w:r w:rsidR="00D223BA">
        <w:rPr>
          <w:lang w:val="is-IS"/>
        </w:rPr>
        <w:t>[</w:t>
      </w:r>
      <w:r>
        <w:rPr>
          <w:lang w:val="is-IS"/>
        </w:rPr>
        <w:t>NVF-33 1986, bls. 39</w:t>
      </w:r>
      <w:r w:rsidR="00D223BA" w:rsidRPr="00235083">
        <w:rPr>
          <w:szCs w:val="22"/>
          <w:lang w:val="is-IS"/>
        </w:rPr>
        <w:t>]</w:t>
      </w:r>
      <w:r w:rsidRPr="00235083">
        <w:rPr>
          <w:szCs w:val="22"/>
          <w:lang w:val="is-IS"/>
        </w:rPr>
        <w:t xml:space="preserve">. </w:t>
      </w:r>
      <w:r w:rsidR="00235083" w:rsidRPr="00C45043">
        <w:rPr>
          <w:szCs w:val="22"/>
          <w:lang w:val="is-IS"/>
        </w:rPr>
        <w:t xml:space="preserve">Tafla 2 sýnir </w:t>
      </w:r>
      <w:r w:rsidR="003513D9" w:rsidRPr="00C45043">
        <w:rPr>
          <w:szCs w:val="22"/>
          <w:lang w:val="is-IS"/>
        </w:rPr>
        <w:t>t</w:t>
      </w:r>
      <w:r w:rsidR="00235083" w:rsidRPr="00C45043">
        <w:rPr>
          <w:szCs w:val="22"/>
          <w:lang w:val="is-IS"/>
        </w:rPr>
        <w:t>illögur að viðmiðunartölum fyrir bindiefnis</w:t>
      </w:r>
      <w:r w:rsidR="00235083" w:rsidRPr="00C45043">
        <w:rPr>
          <w:szCs w:val="22"/>
          <w:lang w:val="is-IS"/>
        </w:rPr>
        <w:softHyphen/>
        <w:t>innihald í íslensku malbiki, svo og há- og lágmarki þess.</w:t>
      </w:r>
    </w:p>
    <w:p w14:paraId="33D07D17" w14:textId="77777777" w:rsidR="00707725" w:rsidRDefault="00707725" w:rsidP="00707725">
      <w:pPr>
        <w:jc w:val="both"/>
        <w:rPr>
          <w:lang w:val="is-IS"/>
        </w:rPr>
      </w:pPr>
    </w:p>
    <w:p w14:paraId="33D07D18" w14:textId="5FFD6D34" w:rsidR="00707725" w:rsidRPr="00FF0BC9" w:rsidRDefault="00707725" w:rsidP="00FF0BC9">
      <w:pPr>
        <w:spacing w:after="60"/>
        <w:ind w:left="1881" w:right="1739"/>
        <w:jc w:val="both"/>
        <w:rPr>
          <w:sz w:val="20"/>
          <w:lang w:val="is-IS"/>
        </w:rPr>
      </w:pPr>
      <w:r>
        <w:rPr>
          <w:b/>
          <w:sz w:val="20"/>
          <w:lang w:val="is-IS"/>
        </w:rPr>
        <w:t xml:space="preserve">Tafla 2. </w:t>
      </w:r>
      <w:r w:rsidRPr="00FF0BC9">
        <w:rPr>
          <w:sz w:val="20"/>
          <w:lang w:val="is-IS"/>
        </w:rPr>
        <w:t>Tillögur að viðmiðunartölum fyrir bindiefnis</w:t>
      </w:r>
      <w:r w:rsidRPr="00FF0BC9">
        <w:rPr>
          <w:sz w:val="20"/>
          <w:lang w:val="is-IS"/>
        </w:rPr>
        <w:softHyphen/>
        <w:t>innihald í íslensku malbiki, svo og há- og lágmarki þess</w:t>
      </w:r>
      <w:r w:rsidR="000A4FDD">
        <w:rPr>
          <w:sz w:val="20"/>
          <w:lang w:val="is-IS"/>
        </w:rPr>
        <w:t xml:space="preserve">, sbr. </w:t>
      </w:r>
      <w:r w:rsidR="00E252CB">
        <w:rPr>
          <w:sz w:val="20"/>
          <w:lang w:val="is-IS"/>
        </w:rPr>
        <w:t xml:space="preserve">töflu 64-3 í </w:t>
      </w:r>
      <w:r w:rsidR="000A4FDD">
        <w:rPr>
          <w:sz w:val="20"/>
          <w:lang w:val="is-IS"/>
        </w:rPr>
        <w:t>k</w:t>
      </w:r>
      <w:r w:rsidR="00C45043">
        <w:rPr>
          <w:sz w:val="20"/>
          <w:lang w:val="is-IS"/>
        </w:rPr>
        <w:t>afla 6 í Efnisgæðaritinu frá 2021</w:t>
      </w:r>
      <w:r w:rsidRPr="00FF0BC9">
        <w:rPr>
          <w:sz w:val="20"/>
          <w:lang w:val="is-IS"/>
        </w:rPr>
        <w:t xml:space="preserve">. </w:t>
      </w:r>
    </w:p>
    <w:tbl>
      <w:tblPr>
        <w:tblStyle w:val="TableGrid"/>
        <w:tblW w:w="0" w:type="auto"/>
        <w:jc w:val="center"/>
        <w:tblLook w:val="01E0" w:firstRow="1" w:lastRow="1" w:firstColumn="1" w:lastColumn="1" w:noHBand="0" w:noVBand="0"/>
      </w:tblPr>
      <w:tblGrid>
        <w:gridCol w:w="1327"/>
        <w:gridCol w:w="1197"/>
        <w:gridCol w:w="1440"/>
      </w:tblGrid>
      <w:tr w:rsidR="00516476" w:rsidRPr="00FF0BC9" w14:paraId="33D07D1C" w14:textId="77777777" w:rsidTr="000A4FDD">
        <w:trPr>
          <w:jc w:val="center"/>
        </w:trPr>
        <w:tc>
          <w:tcPr>
            <w:tcW w:w="1327" w:type="dxa"/>
            <w:shd w:val="clear" w:color="auto" w:fill="D9E2F3" w:themeFill="accent5" w:themeFillTint="33"/>
          </w:tcPr>
          <w:p w14:paraId="33D07D19" w14:textId="77777777" w:rsidR="00516476" w:rsidRPr="002A03FF" w:rsidRDefault="00516476" w:rsidP="00AC28F6">
            <w:pPr>
              <w:overflowPunct/>
              <w:jc w:val="center"/>
              <w:textAlignment w:val="auto"/>
              <w:rPr>
                <w:b/>
                <w:color w:val="000000"/>
                <w:szCs w:val="22"/>
                <w:lang w:val="en-US"/>
              </w:rPr>
            </w:pPr>
            <w:r w:rsidRPr="002A03FF">
              <w:rPr>
                <w:b/>
                <w:color w:val="000000"/>
                <w:szCs w:val="22"/>
                <w:lang w:val="en-US"/>
              </w:rPr>
              <w:t>Slitlag</w:t>
            </w:r>
          </w:p>
        </w:tc>
        <w:tc>
          <w:tcPr>
            <w:tcW w:w="1197" w:type="dxa"/>
            <w:shd w:val="clear" w:color="auto" w:fill="D9E2F3" w:themeFill="accent5" w:themeFillTint="33"/>
          </w:tcPr>
          <w:p w14:paraId="33D07D1A" w14:textId="77777777" w:rsidR="00516476" w:rsidRPr="002A03FF" w:rsidRDefault="00516476" w:rsidP="00AC28F6">
            <w:pPr>
              <w:overflowPunct/>
              <w:jc w:val="center"/>
              <w:textAlignment w:val="auto"/>
              <w:rPr>
                <w:b/>
                <w:color w:val="000000"/>
                <w:szCs w:val="22"/>
                <w:lang w:val="en-US"/>
              </w:rPr>
            </w:pPr>
            <w:r w:rsidRPr="002A03FF">
              <w:rPr>
                <w:b/>
                <w:color w:val="000000"/>
                <w:szCs w:val="22"/>
                <w:lang w:val="en-US"/>
              </w:rPr>
              <w:t>Tillaga, %</w:t>
            </w:r>
          </w:p>
        </w:tc>
        <w:tc>
          <w:tcPr>
            <w:tcW w:w="1440" w:type="dxa"/>
            <w:shd w:val="clear" w:color="auto" w:fill="D9E2F3" w:themeFill="accent5" w:themeFillTint="33"/>
          </w:tcPr>
          <w:p w14:paraId="33D07D1B" w14:textId="77777777" w:rsidR="00516476" w:rsidRPr="002A03FF" w:rsidRDefault="00516476" w:rsidP="00AC28F6">
            <w:pPr>
              <w:overflowPunct/>
              <w:jc w:val="center"/>
              <w:textAlignment w:val="auto"/>
              <w:rPr>
                <w:b/>
                <w:color w:val="000000"/>
                <w:szCs w:val="22"/>
                <w:lang w:val="en-US"/>
              </w:rPr>
            </w:pPr>
            <w:r w:rsidRPr="002A03FF">
              <w:rPr>
                <w:b/>
                <w:color w:val="000000"/>
                <w:szCs w:val="22"/>
                <w:lang w:val="en-US"/>
              </w:rPr>
              <w:t>Mörk, %</w:t>
            </w:r>
          </w:p>
        </w:tc>
      </w:tr>
      <w:tr w:rsidR="00516476" w:rsidRPr="00FF0BC9" w14:paraId="33D07D20" w14:textId="77777777" w:rsidTr="000A4FDD">
        <w:trPr>
          <w:jc w:val="center"/>
        </w:trPr>
        <w:tc>
          <w:tcPr>
            <w:tcW w:w="1327" w:type="dxa"/>
            <w:shd w:val="clear" w:color="auto" w:fill="D9E2F3" w:themeFill="accent5" w:themeFillTint="33"/>
          </w:tcPr>
          <w:p w14:paraId="33D07D1D" w14:textId="0794B3CF" w:rsidR="00516476" w:rsidRPr="00FF0BC9" w:rsidRDefault="00235083" w:rsidP="00AC28F6">
            <w:pPr>
              <w:overflowPunct/>
              <w:jc w:val="center"/>
              <w:textAlignment w:val="auto"/>
              <w:rPr>
                <w:color w:val="000000"/>
                <w:szCs w:val="22"/>
                <w:lang w:val="en-US"/>
              </w:rPr>
            </w:pPr>
            <w:r>
              <w:rPr>
                <w:color w:val="000000"/>
                <w:szCs w:val="22"/>
                <w:lang w:val="en-US"/>
              </w:rPr>
              <w:t>AC</w:t>
            </w:r>
            <w:r w:rsidR="00516476" w:rsidRPr="00FF0BC9">
              <w:rPr>
                <w:color w:val="000000"/>
                <w:szCs w:val="22"/>
                <w:lang w:val="en-US"/>
              </w:rPr>
              <w:t xml:space="preserve"> 8</w:t>
            </w:r>
          </w:p>
        </w:tc>
        <w:tc>
          <w:tcPr>
            <w:tcW w:w="1197" w:type="dxa"/>
            <w:shd w:val="clear" w:color="auto" w:fill="FFF2CC" w:themeFill="accent4" w:themeFillTint="33"/>
          </w:tcPr>
          <w:p w14:paraId="33D07D1E" w14:textId="112CA1A8" w:rsidR="00516476" w:rsidRPr="00FF0BC9" w:rsidRDefault="000A4FDD" w:rsidP="00AC28F6">
            <w:pPr>
              <w:spacing w:after="60"/>
              <w:jc w:val="center"/>
              <w:rPr>
                <w:szCs w:val="22"/>
                <w:lang w:val="is-IS"/>
              </w:rPr>
            </w:pPr>
            <w:r>
              <w:rPr>
                <w:szCs w:val="22"/>
                <w:lang w:val="is-IS"/>
              </w:rPr>
              <w:t>6,</w:t>
            </w:r>
            <w:r w:rsidR="002C1F5E">
              <w:rPr>
                <w:szCs w:val="22"/>
                <w:lang w:val="is-IS"/>
              </w:rPr>
              <w:t>1</w:t>
            </w:r>
          </w:p>
        </w:tc>
        <w:tc>
          <w:tcPr>
            <w:tcW w:w="1440" w:type="dxa"/>
            <w:shd w:val="clear" w:color="auto" w:fill="FFF2CC" w:themeFill="accent4" w:themeFillTint="33"/>
          </w:tcPr>
          <w:p w14:paraId="33D07D1F" w14:textId="24C23922" w:rsidR="00516476" w:rsidRPr="00FF0BC9" w:rsidRDefault="0017356E" w:rsidP="00AC28F6">
            <w:pPr>
              <w:spacing w:after="60"/>
              <w:jc w:val="center"/>
              <w:rPr>
                <w:szCs w:val="22"/>
                <w:lang w:val="is-IS"/>
              </w:rPr>
            </w:pPr>
            <w:r>
              <w:rPr>
                <w:szCs w:val="22"/>
                <w:lang w:val="is-IS"/>
              </w:rPr>
              <w:t>5,8</w:t>
            </w:r>
            <w:r w:rsidR="000A4FDD">
              <w:rPr>
                <w:szCs w:val="22"/>
                <w:lang w:val="is-IS"/>
              </w:rPr>
              <w:t>-</w:t>
            </w:r>
            <w:r w:rsidR="00516476" w:rsidRPr="00FF0BC9">
              <w:rPr>
                <w:szCs w:val="22"/>
                <w:lang w:val="is-IS"/>
              </w:rPr>
              <w:t>6,</w:t>
            </w:r>
            <w:r>
              <w:rPr>
                <w:szCs w:val="22"/>
                <w:lang w:val="is-IS"/>
              </w:rPr>
              <w:t>4</w:t>
            </w:r>
          </w:p>
        </w:tc>
      </w:tr>
      <w:tr w:rsidR="00516476" w:rsidRPr="00FF0BC9" w14:paraId="33D07D24" w14:textId="77777777" w:rsidTr="000A4FDD">
        <w:trPr>
          <w:jc w:val="center"/>
        </w:trPr>
        <w:tc>
          <w:tcPr>
            <w:tcW w:w="1327" w:type="dxa"/>
            <w:shd w:val="clear" w:color="auto" w:fill="D9E2F3" w:themeFill="accent5" w:themeFillTint="33"/>
          </w:tcPr>
          <w:p w14:paraId="33D07D21" w14:textId="7939A8EB" w:rsidR="00516476" w:rsidRPr="00FF0BC9" w:rsidRDefault="00235083" w:rsidP="00AC28F6">
            <w:pPr>
              <w:overflowPunct/>
              <w:jc w:val="center"/>
              <w:textAlignment w:val="auto"/>
              <w:rPr>
                <w:color w:val="000000"/>
                <w:szCs w:val="22"/>
                <w:lang w:val="en-US"/>
              </w:rPr>
            </w:pPr>
            <w:r>
              <w:rPr>
                <w:color w:val="000000"/>
                <w:szCs w:val="22"/>
                <w:lang w:val="en-US"/>
              </w:rPr>
              <w:t>AC</w:t>
            </w:r>
            <w:r w:rsidR="00516476" w:rsidRPr="00FF0BC9">
              <w:rPr>
                <w:color w:val="000000"/>
                <w:szCs w:val="22"/>
                <w:lang w:val="en-US"/>
              </w:rPr>
              <w:t xml:space="preserve"> 11</w:t>
            </w:r>
          </w:p>
        </w:tc>
        <w:tc>
          <w:tcPr>
            <w:tcW w:w="1197" w:type="dxa"/>
            <w:shd w:val="clear" w:color="auto" w:fill="FFF2CC" w:themeFill="accent4" w:themeFillTint="33"/>
          </w:tcPr>
          <w:p w14:paraId="33D07D22" w14:textId="603BA9F0" w:rsidR="00516476" w:rsidRPr="00FF0BC9" w:rsidRDefault="003539E9" w:rsidP="00AC28F6">
            <w:pPr>
              <w:spacing w:after="60"/>
              <w:jc w:val="center"/>
              <w:rPr>
                <w:szCs w:val="22"/>
                <w:lang w:val="is-IS"/>
              </w:rPr>
            </w:pPr>
            <w:r>
              <w:rPr>
                <w:szCs w:val="22"/>
                <w:lang w:val="is-IS"/>
              </w:rPr>
              <w:t>5,7</w:t>
            </w:r>
          </w:p>
        </w:tc>
        <w:tc>
          <w:tcPr>
            <w:tcW w:w="1440" w:type="dxa"/>
            <w:shd w:val="clear" w:color="auto" w:fill="FFF2CC" w:themeFill="accent4" w:themeFillTint="33"/>
          </w:tcPr>
          <w:p w14:paraId="33D07D23" w14:textId="7123C5E5" w:rsidR="00516476" w:rsidRPr="00FF0BC9" w:rsidRDefault="000A4FDD" w:rsidP="00AC28F6">
            <w:pPr>
              <w:spacing w:after="60"/>
              <w:jc w:val="center"/>
              <w:rPr>
                <w:szCs w:val="22"/>
                <w:lang w:val="is-IS"/>
              </w:rPr>
            </w:pPr>
            <w:r>
              <w:rPr>
                <w:szCs w:val="22"/>
                <w:lang w:val="is-IS"/>
              </w:rPr>
              <w:t>5,</w:t>
            </w:r>
            <w:r w:rsidR="005B5529">
              <w:rPr>
                <w:szCs w:val="22"/>
                <w:lang w:val="is-IS"/>
              </w:rPr>
              <w:t>5</w:t>
            </w:r>
            <w:r>
              <w:rPr>
                <w:szCs w:val="22"/>
                <w:lang w:val="is-IS"/>
              </w:rPr>
              <w:t>-</w:t>
            </w:r>
            <w:r w:rsidR="00516476" w:rsidRPr="00FF0BC9">
              <w:rPr>
                <w:szCs w:val="22"/>
                <w:lang w:val="is-IS"/>
              </w:rPr>
              <w:t>6,</w:t>
            </w:r>
            <w:r w:rsidR="005B5529">
              <w:rPr>
                <w:szCs w:val="22"/>
                <w:lang w:val="is-IS"/>
              </w:rPr>
              <w:t>0</w:t>
            </w:r>
          </w:p>
        </w:tc>
      </w:tr>
      <w:tr w:rsidR="00516476" w:rsidRPr="00FF0BC9" w14:paraId="33D07D28" w14:textId="77777777" w:rsidTr="000A4FDD">
        <w:trPr>
          <w:jc w:val="center"/>
        </w:trPr>
        <w:tc>
          <w:tcPr>
            <w:tcW w:w="1327" w:type="dxa"/>
            <w:shd w:val="clear" w:color="auto" w:fill="D9E2F3" w:themeFill="accent5" w:themeFillTint="33"/>
          </w:tcPr>
          <w:p w14:paraId="33D07D25" w14:textId="56003CF1" w:rsidR="00516476" w:rsidRPr="00FF0BC9" w:rsidRDefault="00235083" w:rsidP="00AC28F6">
            <w:pPr>
              <w:overflowPunct/>
              <w:jc w:val="center"/>
              <w:textAlignment w:val="auto"/>
              <w:rPr>
                <w:color w:val="000000"/>
                <w:szCs w:val="22"/>
                <w:lang w:val="en-US"/>
              </w:rPr>
            </w:pPr>
            <w:r>
              <w:rPr>
                <w:color w:val="000000"/>
                <w:szCs w:val="22"/>
                <w:lang w:val="en-US"/>
              </w:rPr>
              <w:t>AC</w:t>
            </w:r>
            <w:r w:rsidR="00516476" w:rsidRPr="00FF0BC9">
              <w:rPr>
                <w:color w:val="000000"/>
                <w:szCs w:val="22"/>
                <w:lang w:val="en-US"/>
              </w:rPr>
              <w:t xml:space="preserve"> 16</w:t>
            </w:r>
          </w:p>
        </w:tc>
        <w:tc>
          <w:tcPr>
            <w:tcW w:w="1197" w:type="dxa"/>
            <w:shd w:val="clear" w:color="auto" w:fill="FFF2CC" w:themeFill="accent4" w:themeFillTint="33"/>
          </w:tcPr>
          <w:p w14:paraId="33D07D26" w14:textId="046BDD9A" w:rsidR="00516476" w:rsidRPr="00FF0BC9" w:rsidRDefault="000A4FDD" w:rsidP="00AC28F6">
            <w:pPr>
              <w:spacing w:after="60"/>
              <w:jc w:val="center"/>
              <w:rPr>
                <w:szCs w:val="22"/>
                <w:lang w:val="is-IS"/>
              </w:rPr>
            </w:pPr>
            <w:r>
              <w:rPr>
                <w:szCs w:val="22"/>
                <w:lang w:val="is-IS"/>
              </w:rPr>
              <w:t>5,</w:t>
            </w:r>
            <w:r w:rsidR="00FB287E">
              <w:rPr>
                <w:szCs w:val="22"/>
                <w:lang w:val="is-IS"/>
              </w:rPr>
              <w:t>5</w:t>
            </w:r>
          </w:p>
        </w:tc>
        <w:tc>
          <w:tcPr>
            <w:tcW w:w="1440" w:type="dxa"/>
            <w:shd w:val="clear" w:color="auto" w:fill="FFF2CC" w:themeFill="accent4" w:themeFillTint="33"/>
          </w:tcPr>
          <w:p w14:paraId="33D07D27" w14:textId="2598EC7D" w:rsidR="00516476" w:rsidRPr="00FF0BC9" w:rsidRDefault="000A4FDD" w:rsidP="00AC28F6">
            <w:pPr>
              <w:spacing w:after="60"/>
              <w:jc w:val="center"/>
              <w:rPr>
                <w:szCs w:val="22"/>
                <w:lang w:val="is-IS"/>
              </w:rPr>
            </w:pPr>
            <w:r>
              <w:rPr>
                <w:szCs w:val="22"/>
                <w:lang w:val="is-IS"/>
              </w:rPr>
              <w:t>5,</w:t>
            </w:r>
            <w:r w:rsidR="00883689">
              <w:rPr>
                <w:szCs w:val="22"/>
                <w:lang w:val="is-IS"/>
              </w:rPr>
              <w:t>3</w:t>
            </w:r>
            <w:r>
              <w:rPr>
                <w:szCs w:val="22"/>
                <w:lang w:val="is-IS"/>
              </w:rPr>
              <w:t>-</w:t>
            </w:r>
            <w:r w:rsidR="00883689">
              <w:rPr>
                <w:szCs w:val="22"/>
                <w:lang w:val="is-IS"/>
              </w:rPr>
              <w:t>5,8</w:t>
            </w:r>
          </w:p>
        </w:tc>
      </w:tr>
      <w:tr w:rsidR="00516476" w:rsidRPr="00FF0BC9" w14:paraId="33D07D2C" w14:textId="77777777" w:rsidTr="000A4FDD">
        <w:trPr>
          <w:jc w:val="center"/>
        </w:trPr>
        <w:tc>
          <w:tcPr>
            <w:tcW w:w="1327" w:type="dxa"/>
            <w:shd w:val="clear" w:color="auto" w:fill="D9E2F3" w:themeFill="accent5" w:themeFillTint="33"/>
          </w:tcPr>
          <w:p w14:paraId="33D07D29"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SMA 8</w:t>
            </w:r>
          </w:p>
        </w:tc>
        <w:tc>
          <w:tcPr>
            <w:tcW w:w="1197" w:type="dxa"/>
            <w:shd w:val="clear" w:color="auto" w:fill="FFF2CC" w:themeFill="accent4" w:themeFillTint="33"/>
          </w:tcPr>
          <w:p w14:paraId="33D07D2A" w14:textId="6EDFC7FE" w:rsidR="00516476" w:rsidRPr="00FF0BC9" w:rsidRDefault="000A4FDD" w:rsidP="00AC28F6">
            <w:pPr>
              <w:spacing w:after="60"/>
              <w:jc w:val="center"/>
              <w:rPr>
                <w:szCs w:val="22"/>
                <w:lang w:val="is-IS"/>
              </w:rPr>
            </w:pPr>
            <w:r>
              <w:rPr>
                <w:szCs w:val="22"/>
                <w:lang w:val="is-IS"/>
              </w:rPr>
              <w:t>6,8</w:t>
            </w:r>
          </w:p>
        </w:tc>
        <w:tc>
          <w:tcPr>
            <w:tcW w:w="1440" w:type="dxa"/>
            <w:shd w:val="clear" w:color="auto" w:fill="FFF2CC" w:themeFill="accent4" w:themeFillTint="33"/>
          </w:tcPr>
          <w:p w14:paraId="33D07D2B" w14:textId="4A48F012" w:rsidR="00516476" w:rsidRPr="00FF0BC9" w:rsidRDefault="00516476" w:rsidP="000A4FDD">
            <w:pPr>
              <w:spacing w:after="60"/>
              <w:jc w:val="center"/>
              <w:rPr>
                <w:szCs w:val="22"/>
                <w:lang w:val="is-IS"/>
              </w:rPr>
            </w:pPr>
            <w:r w:rsidRPr="00FF0BC9">
              <w:rPr>
                <w:szCs w:val="22"/>
                <w:lang w:val="is-IS"/>
              </w:rPr>
              <w:t>6,-</w:t>
            </w:r>
            <w:r w:rsidR="000A4FDD">
              <w:rPr>
                <w:szCs w:val="22"/>
                <w:lang w:val="is-IS"/>
              </w:rPr>
              <w:t>7,7</w:t>
            </w:r>
          </w:p>
        </w:tc>
      </w:tr>
      <w:tr w:rsidR="00516476" w:rsidRPr="00FF0BC9" w14:paraId="33D07D30" w14:textId="77777777" w:rsidTr="000A4FDD">
        <w:trPr>
          <w:jc w:val="center"/>
        </w:trPr>
        <w:tc>
          <w:tcPr>
            <w:tcW w:w="1327" w:type="dxa"/>
            <w:shd w:val="clear" w:color="auto" w:fill="D9E2F3" w:themeFill="accent5" w:themeFillTint="33"/>
          </w:tcPr>
          <w:p w14:paraId="33D07D2D"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SMA 11</w:t>
            </w:r>
          </w:p>
        </w:tc>
        <w:tc>
          <w:tcPr>
            <w:tcW w:w="1197" w:type="dxa"/>
            <w:shd w:val="clear" w:color="auto" w:fill="FFF2CC" w:themeFill="accent4" w:themeFillTint="33"/>
          </w:tcPr>
          <w:p w14:paraId="33D07D2E" w14:textId="6B2EB050" w:rsidR="00516476" w:rsidRPr="00FF0BC9" w:rsidRDefault="00516476" w:rsidP="00AC28F6">
            <w:pPr>
              <w:spacing w:after="60"/>
              <w:jc w:val="center"/>
              <w:rPr>
                <w:szCs w:val="22"/>
                <w:lang w:val="is-IS"/>
              </w:rPr>
            </w:pPr>
            <w:r w:rsidRPr="00FF0BC9">
              <w:rPr>
                <w:szCs w:val="22"/>
                <w:lang w:val="is-IS"/>
              </w:rPr>
              <w:t>6,</w:t>
            </w:r>
            <w:r w:rsidR="000A4FDD">
              <w:rPr>
                <w:szCs w:val="22"/>
                <w:lang w:val="is-IS"/>
              </w:rPr>
              <w:t>4</w:t>
            </w:r>
          </w:p>
        </w:tc>
        <w:tc>
          <w:tcPr>
            <w:tcW w:w="1440" w:type="dxa"/>
            <w:shd w:val="clear" w:color="auto" w:fill="FFF2CC" w:themeFill="accent4" w:themeFillTint="33"/>
          </w:tcPr>
          <w:p w14:paraId="33D07D2F" w14:textId="15B079B7" w:rsidR="00516476" w:rsidRPr="00FF0BC9" w:rsidRDefault="000A4FDD" w:rsidP="00AC28F6">
            <w:pPr>
              <w:spacing w:after="60"/>
              <w:jc w:val="center"/>
              <w:rPr>
                <w:szCs w:val="22"/>
                <w:lang w:val="is-IS"/>
              </w:rPr>
            </w:pPr>
            <w:r>
              <w:rPr>
                <w:szCs w:val="22"/>
                <w:lang w:val="is-IS"/>
              </w:rPr>
              <w:t>5,9</w:t>
            </w:r>
            <w:r w:rsidR="00516476" w:rsidRPr="00FF0BC9">
              <w:rPr>
                <w:szCs w:val="22"/>
                <w:lang w:val="is-IS"/>
              </w:rPr>
              <w:t>-7,</w:t>
            </w:r>
            <w:r>
              <w:rPr>
                <w:szCs w:val="22"/>
                <w:lang w:val="is-IS"/>
              </w:rPr>
              <w:t>4</w:t>
            </w:r>
          </w:p>
        </w:tc>
      </w:tr>
      <w:tr w:rsidR="00516476" w:rsidRPr="00FF0BC9" w14:paraId="33D07D34" w14:textId="77777777" w:rsidTr="000A4FDD">
        <w:trPr>
          <w:jc w:val="center"/>
        </w:trPr>
        <w:tc>
          <w:tcPr>
            <w:tcW w:w="1327" w:type="dxa"/>
            <w:shd w:val="clear" w:color="auto" w:fill="D9E2F3" w:themeFill="accent5" w:themeFillTint="33"/>
          </w:tcPr>
          <w:p w14:paraId="33D07D31"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SMA 16</w:t>
            </w:r>
          </w:p>
        </w:tc>
        <w:tc>
          <w:tcPr>
            <w:tcW w:w="1197" w:type="dxa"/>
            <w:shd w:val="clear" w:color="auto" w:fill="FFF2CC" w:themeFill="accent4" w:themeFillTint="33"/>
          </w:tcPr>
          <w:p w14:paraId="33D07D32" w14:textId="2E3A20CC" w:rsidR="00516476" w:rsidRPr="00FF0BC9" w:rsidRDefault="00516476" w:rsidP="00AC28F6">
            <w:pPr>
              <w:spacing w:after="60"/>
              <w:jc w:val="center"/>
              <w:rPr>
                <w:szCs w:val="22"/>
                <w:lang w:val="is-IS"/>
              </w:rPr>
            </w:pPr>
            <w:r w:rsidRPr="00FF0BC9">
              <w:rPr>
                <w:szCs w:val="22"/>
                <w:lang w:val="is-IS"/>
              </w:rPr>
              <w:t>6,</w:t>
            </w:r>
            <w:r w:rsidR="000A4FDD">
              <w:rPr>
                <w:szCs w:val="22"/>
                <w:lang w:val="is-IS"/>
              </w:rPr>
              <w:t>2</w:t>
            </w:r>
          </w:p>
        </w:tc>
        <w:tc>
          <w:tcPr>
            <w:tcW w:w="1440" w:type="dxa"/>
            <w:shd w:val="clear" w:color="auto" w:fill="FFF2CC" w:themeFill="accent4" w:themeFillTint="33"/>
          </w:tcPr>
          <w:p w14:paraId="33D07D33" w14:textId="7E283CF5" w:rsidR="00516476" w:rsidRPr="00FF0BC9" w:rsidRDefault="000A4FDD" w:rsidP="00AC28F6">
            <w:pPr>
              <w:spacing w:after="60"/>
              <w:jc w:val="center"/>
              <w:rPr>
                <w:szCs w:val="22"/>
                <w:lang w:val="is-IS"/>
              </w:rPr>
            </w:pPr>
            <w:r>
              <w:rPr>
                <w:szCs w:val="22"/>
                <w:lang w:val="is-IS"/>
              </w:rPr>
              <w:t>5,7</w:t>
            </w:r>
            <w:r w:rsidR="00516476" w:rsidRPr="00FF0BC9">
              <w:rPr>
                <w:szCs w:val="22"/>
                <w:lang w:val="is-IS"/>
              </w:rPr>
              <w:t>-7,</w:t>
            </w:r>
            <w:r>
              <w:rPr>
                <w:szCs w:val="22"/>
                <w:lang w:val="is-IS"/>
              </w:rPr>
              <w:t>2</w:t>
            </w:r>
          </w:p>
        </w:tc>
      </w:tr>
      <w:tr w:rsidR="00516476" w:rsidRPr="00FF0BC9" w14:paraId="33D07D40" w14:textId="77777777" w:rsidTr="000A4FDD">
        <w:trPr>
          <w:jc w:val="center"/>
        </w:trPr>
        <w:tc>
          <w:tcPr>
            <w:tcW w:w="1327" w:type="dxa"/>
            <w:shd w:val="clear" w:color="auto" w:fill="D9E2F3" w:themeFill="accent5" w:themeFillTint="33"/>
          </w:tcPr>
          <w:p w14:paraId="33D07D3D"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BRL 16</w:t>
            </w:r>
          </w:p>
        </w:tc>
        <w:tc>
          <w:tcPr>
            <w:tcW w:w="1197" w:type="dxa"/>
            <w:shd w:val="clear" w:color="auto" w:fill="FFF2CC" w:themeFill="accent4" w:themeFillTint="33"/>
          </w:tcPr>
          <w:p w14:paraId="33D07D3E" w14:textId="78116846" w:rsidR="00516476" w:rsidRPr="00FF0BC9" w:rsidRDefault="00516476" w:rsidP="00AC28F6">
            <w:pPr>
              <w:spacing w:after="60"/>
              <w:jc w:val="center"/>
              <w:rPr>
                <w:szCs w:val="22"/>
                <w:lang w:val="is-IS"/>
              </w:rPr>
            </w:pPr>
            <w:r w:rsidRPr="00FF0BC9">
              <w:rPr>
                <w:szCs w:val="22"/>
                <w:lang w:val="is-IS"/>
              </w:rPr>
              <w:t>4</w:t>
            </w:r>
            <w:r w:rsidR="000A4FDD">
              <w:rPr>
                <w:szCs w:val="22"/>
                <w:lang w:val="is-IS"/>
              </w:rPr>
              <w:t>,8</w:t>
            </w:r>
          </w:p>
        </w:tc>
        <w:tc>
          <w:tcPr>
            <w:tcW w:w="1440" w:type="dxa"/>
            <w:shd w:val="clear" w:color="auto" w:fill="FFF2CC" w:themeFill="accent4" w:themeFillTint="33"/>
          </w:tcPr>
          <w:p w14:paraId="33D07D3F" w14:textId="22DCD592" w:rsidR="00516476" w:rsidRPr="00FF0BC9" w:rsidRDefault="000A4FDD" w:rsidP="00AC28F6">
            <w:pPr>
              <w:spacing w:after="60"/>
              <w:jc w:val="center"/>
              <w:rPr>
                <w:szCs w:val="22"/>
                <w:lang w:val="is-IS"/>
              </w:rPr>
            </w:pPr>
            <w:r>
              <w:rPr>
                <w:szCs w:val="22"/>
                <w:lang w:val="is-IS"/>
              </w:rPr>
              <w:t>4,6</w:t>
            </w:r>
            <w:r w:rsidR="00516476" w:rsidRPr="00FF0BC9">
              <w:rPr>
                <w:szCs w:val="22"/>
                <w:lang w:val="is-IS"/>
              </w:rPr>
              <w:t>-</w:t>
            </w:r>
            <w:r>
              <w:rPr>
                <w:szCs w:val="22"/>
                <w:lang w:val="is-IS"/>
              </w:rPr>
              <w:t>5,6</w:t>
            </w:r>
          </w:p>
        </w:tc>
      </w:tr>
      <w:tr w:rsidR="00516476" w:rsidRPr="00FF0BC9" w14:paraId="33D07D44" w14:textId="77777777" w:rsidTr="000A4FDD">
        <w:trPr>
          <w:jc w:val="center"/>
        </w:trPr>
        <w:tc>
          <w:tcPr>
            <w:tcW w:w="1327" w:type="dxa"/>
            <w:shd w:val="clear" w:color="auto" w:fill="D9E2F3" w:themeFill="accent5" w:themeFillTint="33"/>
          </w:tcPr>
          <w:p w14:paraId="33D07D41" w14:textId="77777777" w:rsidR="00516476" w:rsidRPr="00FF0BC9" w:rsidRDefault="00516476" w:rsidP="00AC28F6">
            <w:pPr>
              <w:overflowPunct/>
              <w:jc w:val="center"/>
              <w:textAlignment w:val="auto"/>
              <w:rPr>
                <w:color w:val="000000"/>
                <w:szCs w:val="22"/>
                <w:lang w:val="en-US"/>
              </w:rPr>
            </w:pPr>
            <w:r w:rsidRPr="00FF0BC9">
              <w:rPr>
                <w:color w:val="000000"/>
                <w:szCs w:val="22"/>
                <w:lang w:val="en-US"/>
              </w:rPr>
              <w:t>BRL 22</w:t>
            </w:r>
          </w:p>
        </w:tc>
        <w:tc>
          <w:tcPr>
            <w:tcW w:w="1197" w:type="dxa"/>
            <w:shd w:val="clear" w:color="auto" w:fill="FFF2CC" w:themeFill="accent4" w:themeFillTint="33"/>
          </w:tcPr>
          <w:p w14:paraId="33D07D42" w14:textId="0CFA101E" w:rsidR="00516476" w:rsidRPr="00FF0BC9" w:rsidRDefault="000A4FDD" w:rsidP="00AC28F6">
            <w:pPr>
              <w:spacing w:after="60"/>
              <w:jc w:val="center"/>
              <w:rPr>
                <w:szCs w:val="22"/>
                <w:lang w:val="is-IS"/>
              </w:rPr>
            </w:pPr>
            <w:r>
              <w:rPr>
                <w:szCs w:val="22"/>
                <w:lang w:val="is-IS"/>
              </w:rPr>
              <w:t>4,6</w:t>
            </w:r>
          </w:p>
        </w:tc>
        <w:tc>
          <w:tcPr>
            <w:tcW w:w="1440" w:type="dxa"/>
            <w:shd w:val="clear" w:color="auto" w:fill="FFF2CC" w:themeFill="accent4" w:themeFillTint="33"/>
          </w:tcPr>
          <w:p w14:paraId="33D07D43" w14:textId="3D799CB3" w:rsidR="00516476" w:rsidRPr="00FF0BC9" w:rsidRDefault="00516476" w:rsidP="00AC28F6">
            <w:pPr>
              <w:spacing w:after="60"/>
              <w:jc w:val="center"/>
              <w:rPr>
                <w:szCs w:val="22"/>
                <w:lang w:val="is-IS"/>
              </w:rPr>
            </w:pPr>
            <w:r w:rsidRPr="00FF0BC9">
              <w:rPr>
                <w:szCs w:val="22"/>
                <w:lang w:val="is-IS"/>
              </w:rPr>
              <w:t>4,</w:t>
            </w:r>
            <w:r w:rsidR="000A4FDD">
              <w:rPr>
                <w:szCs w:val="22"/>
                <w:lang w:val="is-IS"/>
              </w:rPr>
              <w:t>2</w:t>
            </w:r>
            <w:r w:rsidRPr="00FF0BC9">
              <w:rPr>
                <w:szCs w:val="22"/>
                <w:lang w:val="is-IS"/>
              </w:rPr>
              <w:t>-</w:t>
            </w:r>
            <w:r w:rsidR="000A4FDD">
              <w:rPr>
                <w:szCs w:val="22"/>
                <w:lang w:val="is-IS"/>
              </w:rPr>
              <w:t>5,3</w:t>
            </w:r>
          </w:p>
        </w:tc>
      </w:tr>
    </w:tbl>
    <w:p w14:paraId="33D07D49" w14:textId="77777777" w:rsidR="00516476" w:rsidRDefault="00516476" w:rsidP="00516476">
      <w:pPr>
        <w:spacing w:after="60"/>
        <w:jc w:val="both"/>
        <w:rPr>
          <w:lang w:val="is-IS"/>
        </w:rPr>
      </w:pPr>
    </w:p>
    <w:p w14:paraId="33D07D4A" w14:textId="1A4DB96F" w:rsidR="00516476" w:rsidRDefault="00516476" w:rsidP="00A57EF7">
      <w:pPr>
        <w:jc w:val="both"/>
        <w:rPr>
          <w:lang w:val="is-IS"/>
        </w:rPr>
      </w:pPr>
      <w:r>
        <w:rPr>
          <w:lang w:val="is-IS"/>
        </w:rPr>
        <w:t xml:space="preserve">Tafla 2 er tillaga að viðmiðunargildum fyrir bindiefnisinnihald í íslensku malbiki, og er byggð á sænsku verklýsingunum og forsendunum hér að framan. </w:t>
      </w:r>
    </w:p>
    <w:p w14:paraId="33D07D4B" w14:textId="77777777" w:rsidR="00516476" w:rsidRDefault="00516476" w:rsidP="00516476">
      <w:pPr>
        <w:spacing w:after="60"/>
        <w:jc w:val="both"/>
        <w:rPr>
          <w:lang w:val="is-IS"/>
        </w:rPr>
      </w:pPr>
    </w:p>
    <w:p w14:paraId="33D07D4C" w14:textId="77777777" w:rsidR="00E252CB" w:rsidRPr="005B4BA7" w:rsidRDefault="00E252CB" w:rsidP="00E252CB">
      <w:pPr>
        <w:ind w:firstLine="340"/>
        <w:jc w:val="both"/>
        <w:rPr>
          <w:b/>
          <w:color w:val="FF0000"/>
          <w:lang w:val="is-IS"/>
        </w:rPr>
      </w:pPr>
      <w:r w:rsidRPr="005B4BA7">
        <w:rPr>
          <w:b/>
          <w:color w:val="FF0000"/>
          <w:lang w:val="is-IS"/>
        </w:rPr>
        <w:t>ATHUGASEMD RITSTJÓRNAR Í JANÚAR 2020</w:t>
      </w:r>
    </w:p>
    <w:p w14:paraId="33D07D4D" w14:textId="5E833EC3" w:rsidR="00A57EF7" w:rsidRPr="005B4BA7" w:rsidRDefault="00E252CB" w:rsidP="00E252CB">
      <w:pPr>
        <w:spacing w:after="60"/>
        <w:jc w:val="both"/>
        <w:rPr>
          <w:color w:val="FF0000"/>
        </w:rPr>
      </w:pPr>
      <w:r w:rsidRPr="005B4BA7">
        <w:rPr>
          <w:color w:val="FF0000"/>
        </w:rPr>
        <w:t>Þessi kafli fær að halda sér að mestu leyti. Þó eru gildi um bindiefnisinnihald í íslensku malbiki samræmd með tilliti til töflu 64-3 í Efnisgæðaritinu.</w:t>
      </w:r>
      <w:r w:rsidR="008B23FF">
        <w:rPr>
          <w:color w:val="FF0000"/>
        </w:rPr>
        <w:t xml:space="preserve"> </w:t>
      </w:r>
      <w:r w:rsidR="00C061BC">
        <w:rPr>
          <w:color w:val="FF0000"/>
        </w:rPr>
        <w:t>Í nýust</w:t>
      </w:r>
      <w:r w:rsidR="00BA1906">
        <w:rPr>
          <w:color w:val="FF0000"/>
        </w:rPr>
        <w:t>u útgáfu</w:t>
      </w:r>
      <w:r w:rsidR="00C607C9">
        <w:rPr>
          <w:color w:val="FF0000"/>
        </w:rPr>
        <w:t>m</w:t>
      </w:r>
      <w:r w:rsidR="00BA1906">
        <w:rPr>
          <w:color w:val="FF0000"/>
        </w:rPr>
        <w:t xml:space="preserve"> Efnisgæðaritsins hefur </w:t>
      </w:r>
      <w:r w:rsidR="00BA1906">
        <w:rPr>
          <w:color w:val="FF0000"/>
        </w:rPr>
        <w:lastRenderedPageBreak/>
        <w:t>tillag</w:t>
      </w:r>
      <w:r w:rsidR="00457898">
        <w:rPr>
          <w:color w:val="FF0000"/>
        </w:rPr>
        <w:t>a</w:t>
      </w:r>
      <w:r w:rsidR="00BA1906">
        <w:rPr>
          <w:color w:val="FF0000"/>
        </w:rPr>
        <w:t xml:space="preserve"> að bi</w:t>
      </w:r>
      <w:r w:rsidR="00457898">
        <w:rPr>
          <w:color w:val="FF0000"/>
        </w:rPr>
        <w:t xml:space="preserve">ndiefnisinnihaldi lækkað umtalsvert fyrir stífmalbik (AC) </w:t>
      </w:r>
      <w:r w:rsidR="00F95D7D">
        <w:rPr>
          <w:color w:val="FF0000"/>
        </w:rPr>
        <w:t xml:space="preserve">í þeirri viðleitni að </w:t>
      </w:r>
      <w:r w:rsidR="00FD533C">
        <w:rPr>
          <w:color w:val="FF0000"/>
        </w:rPr>
        <w:t>kröfur um lágmarks</w:t>
      </w:r>
      <w:r w:rsidR="00F95D7D">
        <w:rPr>
          <w:color w:val="FF0000"/>
        </w:rPr>
        <w:t>holrýmd</w:t>
      </w:r>
      <w:r w:rsidR="00FD533C">
        <w:rPr>
          <w:color w:val="FF0000"/>
        </w:rPr>
        <w:t>,</w:t>
      </w:r>
      <w:r w:rsidR="00F95D7D">
        <w:rPr>
          <w:color w:val="FF0000"/>
        </w:rPr>
        <w:t xml:space="preserve"> sem </w:t>
      </w:r>
      <w:r w:rsidR="00FA75F3">
        <w:rPr>
          <w:color w:val="FF0000"/>
        </w:rPr>
        <w:t>hefur verið hækkuð</w:t>
      </w:r>
      <w:r w:rsidR="00FD533C">
        <w:rPr>
          <w:color w:val="FF0000"/>
        </w:rPr>
        <w:t>,</w:t>
      </w:r>
      <w:r w:rsidR="00FA75F3">
        <w:rPr>
          <w:color w:val="FF0000"/>
        </w:rPr>
        <w:t xml:space="preserve"> sé innan marka.</w:t>
      </w:r>
    </w:p>
    <w:p w14:paraId="33D07D4E" w14:textId="77777777" w:rsidR="00E252CB" w:rsidRPr="005B4BA7" w:rsidRDefault="00E252CB" w:rsidP="00E252CB">
      <w:pPr>
        <w:spacing w:after="60"/>
        <w:jc w:val="both"/>
        <w:rPr>
          <w:color w:val="FF0000"/>
          <w:lang w:val="is-IS"/>
        </w:rPr>
      </w:pPr>
    </w:p>
    <w:p w14:paraId="33D07D4F" w14:textId="77777777" w:rsidR="00516476" w:rsidRPr="00A57EF7" w:rsidRDefault="00516476" w:rsidP="00A57EF7">
      <w:pPr>
        <w:spacing w:after="60"/>
        <w:rPr>
          <w:b/>
          <w:sz w:val="24"/>
          <w:szCs w:val="24"/>
          <w:lang w:val="is-IS"/>
        </w:rPr>
      </w:pPr>
      <w:r w:rsidRPr="00A57EF7">
        <w:rPr>
          <w:b/>
          <w:sz w:val="24"/>
          <w:szCs w:val="24"/>
          <w:lang w:val="is-IS"/>
        </w:rPr>
        <w:t>HEIMILDIR</w:t>
      </w:r>
    </w:p>
    <w:p w14:paraId="33D07D50" w14:textId="77777777" w:rsidR="00516476" w:rsidRDefault="00516476" w:rsidP="00A57EF7">
      <w:pPr>
        <w:ind w:left="340" w:hanging="340"/>
        <w:jc w:val="both"/>
        <w:rPr>
          <w:lang w:val="is-IS"/>
        </w:rPr>
      </w:pPr>
      <w:r>
        <w:rPr>
          <w:lang w:val="is-IS"/>
        </w:rPr>
        <w:t xml:space="preserve">NVF-33. 1986. </w:t>
      </w:r>
      <w:r w:rsidRPr="00495E92">
        <w:rPr>
          <w:i/>
          <w:lang w:val="is-IS"/>
        </w:rPr>
        <w:t>Bruk av porost steinmateriale til asfaltdekker.</w:t>
      </w:r>
      <w:r>
        <w:rPr>
          <w:lang w:val="is-IS"/>
        </w:rPr>
        <w:t xml:space="preserve"> Nordiska Vägtekniska Förbundet. Utskott 33 Asfaltbeläggningar.</w:t>
      </w:r>
    </w:p>
    <w:p w14:paraId="33D07D51" w14:textId="77777777" w:rsidR="00516476" w:rsidRDefault="00516476" w:rsidP="00A57EF7">
      <w:pPr>
        <w:ind w:left="340" w:hanging="340"/>
        <w:jc w:val="both"/>
        <w:rPr>
          <w:lang w:val="is-IS"/>
        </w:rPr>
      </w:pPr>
      <w:r>
        <w:rPr>
          <w:lang w:val="is-IS"/>
        </w:rPr>
        <w:t xml:space="preserve">PANK. </w:t>
      </w:r>
      <w:r w:rsidRPr="00F60E06">
        <w:rPr>
          <w:lang w:val="is-IS"/>
        </w:rPr>
        <w:t>2000</w:t>
      </w:r>
      <w:r w:rsidRPr="006F21A2">
        <w:rPr>
          <w:color w:val="FF0000"/>
          <w:lang w:val="is-IS"/>
        </w:rPr>
        <w:t>.</w:t>
      </w:r>
      <w:r>
        <w:rPr>
          <w:lang w:val="is-IS"/>
        </w:rPr>
        <w:t xml:space="preserve"> </w:t>
      </w:r>
      <w:r w:rsidRPr="00BD71A3">
        <w:rPr>
          <w:i/>
          <w:lang w:val="is-IS"/>
        </w:rPr>
        <w:t xml:space="preserve">Finnish Asphalt Specifications </w:t>
      </w:r>
      <w:r>
        <w:rPr>
          <w:i/>
          <w:lang w:val="is-IS"/>
        </w:rPr>
        <w:t>2000</w:t>
      </w:r>
      <w:r w:rsidRPr="00BD71A3">
        <w:rPr>
          <w:i/>
          <w:lang w:val="is-IS"/>
        </w:rPr>
        <w:t>.</w:t>
      </w:r>
      <w:r>
        <w:rPr>
          <w:lang w:val="is-IS"/>
        </w:rPr>
        <w:t xml:space="preserve"> Finnish Pavement Technology Advisory Council. Helsinki.</w:t>
      </w:r>
    </w:p>
    <w:p w14:paraId="33D07D52" w14:textId="77777777" w:rsidR="00516476" w:rsidRDefault="00516476" w:rsidP="00A57EF7">
      <w:pPr>
        <w:ind w:left="340" w:hanging="340"/>
        <w:jc w:val="both"/>
        <w:rPr>
          <w:lang w:val="is-IS"/>
        </w:rPr>
      </w:pPr>
      <w:r>
        <w:rPr>
          <w:lang w:val="is-IS"/>
        </w:rPr>
        <w:t xml:space="preserve">Statens vegvesen. 2005. </w:t>
      </w:r>
      <w:r w:rsidRPr="00BD71A3">
        <w:rPr>
          <w:i/>
          <w:lang w:val="is-IS"/>
        </w:rPr>
        <w:t>Håndbok 018.</w:t>
      </w:r>
      <w:r>
        <w:rPr>
          <w:lang w:val="is-IS"/>
        </w:rPr>
        <w:t xml:space="preserve"> </w:t>
      </w:r>
      <w:r w:rsidRPr="00BD71A3">
        <w:rPr>
          <w:i/>
          <w:lang w:val="is-IS"/>
        </w:rPr>
        <w:t xml:space="preserve">Vegbygging. </w:t>
      </w:r>
      <w:r>
        <w:rPr>
          <w:lang w:val="is-IS"/>
        </w:rPr>
        <w:t>Statens vegvesen. Oslo.</w:t>
      </w:r>
    </w:p>
    <w:p w14:paraId="33D07D54" w14:textId="001D2595" w:rsidR="00516476" w:rsidRDefault="00516476" w:rsidP="00D14E7C">
      <w:pPr>
        <w:ind w:left="340" w:hanging="340"/>
        <w:jc w:val="both"/>
        <w:rPr>
          <w:szCs w:val="22"/>
          <w:lang w:val="is-IS"/>
        </w:rPr>
      </w:pPr>
      <w:r w:rsidRPr="009D2FE7">
        <w:rPr>
          <w:szCs w:val="22"/>
          <w:lang w:val="is-IS"/>
        </w:rPr>
        <w:t xml:space="preserve">Vägverket. 2005. </w:t>
      </w:r>
      <w:r w:rsidRPr="009D2FE7">
        <w:rPr>
          <w:i/>
          <w:szCs w:val="22"/>
          <w:lang w:val="is-IS"/>
        </w:rPr>
        <w:t>ATB VÄG 2005. Kapitel I Typblad, kontrollblad, bindemedel och konstruktionstyper för bitumenbundna lager.</w:t>
      </w:r>
      <w:r w:rsidRPr="009D2FE7">
        <w:rPr>
          <w:szCs w:val="22"/>
          <w:lang w:val="is-IS"/>
        </w:rPr>
        <w:t xml:space="preserve"> VV Publ 2005:112. Borlänge.</w:t>
      </w:r>
    </w:p>
    <w:p w14:paraId="7937718F" w14:textId="77777777" w:rsidR="00D14E7C" w:rsidRPr="00D14E7C" w:rsidRDefault="00D14E7C" w:rsidP="00D14E7C">
      <w:pPr>
        <w:ind w:left="340" w:hanging="340"/>
        <w:jc w:val="both"/>
        <w:rPr>
          <w:szCs w:val="22"/>
          <w:lang w:val="is-IS"/>
        </w:rPr>
      </w:pPr>
    </w:p>
    <w:p w14:paraId="33D07D62" w14:textId="77777777" w:rsidR="004E0D12" w:rsidRPr="006868A9" w:rsidRDefault="004E0D12" w:rsidP="006868A9">
      <w:pPr>
        <w:pStyle w:val="Heading1"/>
      </w:pPr>
      <w:bookmarkStart w:id="13" w:name="_Toc52974018"/>
      <w:r w:rsidRPr="006868A9">
        <w:t>SÁLDURFERLAR OG MARKALÍNUR FYRIR MALBIK</w:t>
      </w:r>
      <w:bookmarkEnd w:id="13"/>
    </w:p>
    <w:p w14:paraId="33D07D63" w14:textId="77777777" w:rsidR="004E0D12" w:rsidRPr="0054726C" w:rsidRDefault="004E0D12" w:rsidP="00D223BA">
      <w:pPr>
        <w:jc w:val="both"/>
        <w:rPr>
          <w:sz w:val="24"/>
          <w:szCs w:val="24"/>
          <w:lang w:val="is-IS"/>
        </w:rPr>
      </w:pPr>
    </w:p>
    <w:p w14:paraId="33D07D64" w14:textId="77777777" w:rsidR="004E0D12" w:rsidRDefault="004E0D12" w:rsidP="001044F8">
      <w:pPr>
        <w:jc w:val="both"/>
        <w:rPr>
          <w:lang w:val="is-IS"/>
        </w:rPr>
      </w:pPr>
      <w:r>
        <w:rPr>
          <w:lang w:val="is-IS"/>
        </w:rPr>
        <w:t>Rétt er að taka strax fram að sáldurferill er ekki stiki í venjulegum skilningi; til að svo væri yrði að vera hægt að lýsa sáldurferli með einni tölu eða tveim, en sáldurferlar í malbiki eru alltof fjölbreyttir til þess. Á hinn bóginn hefur sáldurferillinn afgerandi áhrif á eiginleika malbiksins og af þeirri ástæðu er fjallað um hann sem stika.</w:t>
      </w:r>
    </w:p>
    <w:p w14:paraId="33D07D65" w14:textId="77777777" w:rsidR="004E0D12" w:rsidRDefault="004E0D12" w:rsidP="001044F8">
      <w:pPr>
        <w:ind w:firstLine="342"/>
        <w:jc w:val="both"/>
        <w:rPr>
          <w:lang w:val="is-IS"/>
        </w:rPr>
      </w:pPr>
      <w:r>
        <w:rPr>
          <w:lang w:val="is-IS"/>
        </w:rPr>
        <w:t xml:space="preserve">Sáldurferlar í malbiki geta verið mjög mismunandi, en þegar sáldurferill hefur verið ákveðinn fyrir tiltekna blöndu er kappkostað að hann breytist sem allra minnst meðan á framleiðslu malbiksins stendur. Ástæðan er sú að breyting á sáldurferlinum, að öðrum stikum óbreyttum, hefur talsverð áhrif á eiginleika malbiksins og sjaldnast til bóta ef malbikið hefur verið hannað fyrir ákveðnar aðstæður. Svo dæmi sé tekið; ef sáldurferill reynist grófari en blöndunarforskrift malbiksins gerir ráð fyrir, má búast við að holrýmdin aukist, en við það eykst hætta á vatnsskemmdum, minnkandi slitþoli og ótímabærri öldrun malbiksins. Af þessum sökum er leyfilegum vikum frá tilgreindum sáldurferli settar þröngar skorður í framleiðslu malbiks. </w:t>
      </w:r>
    </w:p>
    <w:p w14:paraId="33D07D66" w14:textId="6A598586" w:rsidR="004E0D12" w:rsidRDefault="004E0D12" w:rsidP="001044F8">
      <w:pPr>
        <w:ind w:firstLine="342"/>
        <w:jc w:val="both"/>
        <w:rPr>
          <w:lang w:val="is-IS"/>
        </w:rPr>
      </w:pPr>
      <w:r>
        <w:rPr>
          <w:lang w:val="is-IS"/>
        </w:rPr>
        <w:t>Í verklýsingum fyrir malbik er sáldurferillinn alltaf sýndur sem þyngdarhluti sýnisins, sem smýgur tiltekið si</w:t>
      </w:r>
      <w:r w:rsidR="00C556B0">
        <w:rPr>
          <w:lang w:val="is-IS"/>
        </w:rPr>
        <w:t>g</w:t>
      </w:r>
      <w:r>
        <w:rPr>
          <w:lang w:val="is-IS"/>
        </w:rPr>
        <w:t>ti (sáldur), sem fall af möskvastærð si</w:t>
      </w:r>
      <w:r w:rsidR="00C556B0">
        <w:rPr>
          <w:lang w:val="is-IS"/>
        </w:rPr>
        <w:t>g</w:t>
      </w:r>
      <w:r>
        <w:rPr>
          <w:lang w:val="is-IS"/>
        </w:rPr>
        <w:t xml:space="preserve">tisins. Venjulega er möskvastærðin sýnd (í mm) á lárétta ásnum í lograkvarða, en sáldur sýnisins á lóðrétta ásnum (í %). </w:t>
      </w:r>
      <w:r w:rsidR="0042385D">
        <w:rPr>
          <w:lang w:val="is-IS"/>
        </w:rPr>
        <w:t>Sumsstaðar erlendis</w:t>
      </w:r>
      <w:r w:rsidR="00340CB6">
        <w:rPr>
          <w:lang w:val="is-IS"/>
        </w:rPr>
        <w:t xml:space="preserve"> hefur</w:t>
      </w:r>
      <w:r>
        <w:rPr>
          <w:lang w:val="is-IS"/>
        </w:rPr>
        <w:t xml:space="preserve"> tíðkast að kvarðinn á lárétta ásnum sé í réttu hlutfalli við möskvastærðina (í mm) í veldinu 0,45. Síðarnefnda aðferðin hefur einn kost; ef dregin er bein lína frá upphafspunkti línuritsins (úr horninu neðst til vinstri) að stærstu kornastærð sýnisins við 100% sáldur, þá táknar þessi lína þéttasta mögulega sáldurferil sýnis með þessa hámarkskornastærð. Hönnunaraðferð Superpave byggir val sitt á sáldurferli fyrir malbik á þessari framsetningu.</w:t>
      </w:r>
    </w:p>
    <w:p w14:paraId="33D07D67" w14:textId="77777777" w:rsidR="004E0D12" w:rsidRDefault="004E0D12" w:rsidP="001044F8">
      <w:pPr>
        <w:ind w:firstLine="342"/>
        <w:jc w:val="both"/>
        <w:rPr>
          <w:lang w:val="is-IS"/>
        </w:rPr>
      </w:pPr>
      <w:r>
        <w:rPr>
          <w:lang w:val="is-IS"/>
        </w:rPr>
        <w:t xml:space="preserve">Þrír eiginleikar sáldurferils öðrum fremur eru mikilvægir fyrir eiginleika malbiksins. Það eru hlutfall mélu (&lt; 0,063 mm) af steinefninu, </w:t>
      </w:r>
      <w:r w:rsidR="001D10CA">
        <w:rPr>
          <w:lang w:val="is-IS"/>
        </w:rPr>
        <w:t>efri flokkunar</w:t>
      </w:r>
      <w:r>
        <w:rPr>
          <w:lang w:val="is-IS"/>
        </w:rPr>
        <w:t xml:space="preserve">stærð þess og lögun sáldurferilsins á milli þessara tveggja punkta á honum. </w:t>
      </w:r>
    </w:p>
    <w:p w14:paraId="33D07D68" w14:textId="4A6F52E1" w:rsidR="004E0D12" w:rsidRDefault="004E0D12" w:rsidP="001044F8">
      <w:pPr>
        <w:ind w:firstLine="342"/>
        <w:jc w:val="both"/>
        <w:rPr>
          <w:lang w:val="is-IS"/>
        </w:rPr>
      </w:pPr>
      <w:r>
        <w:rPr>
          <w:lang w:val="is-IS"/>
        </w:rPr>
        <w:t xml:space="preserve">Méluinnihaldi í malbiki er oftast valið á bilinu </w:t>
      </w:r>
      <w:r w:rsidR="00C556B0">
        <w:rPr>
          <w:lang w:val="is-IS"/>
        </w:rPr>
        <w:t>6</w:t>
      </w:r>
      <w:r>
        <w:rPr>
          <w:lang w:val="is-IS"/>
        </w:rPr>
        <w:t xml:space="preserve">-13% af þyngd steinefnisins. Meginhlutverk mélunnar er að </w:t>
      </w:r>
      <w:r w:rsidR="00C556B0">
        <w:rPr>
          <w:lang w:val="is-IS"/>
        </w:rPr>
        <w:t>auka</w:t>
      </w:r>
      <w:r>
        <w:rPr>
          <w:lang w:val="is-IS"/>
        </w:rPr>
        <w:t xml:space="preserve"> festu malbiksins, því þegar hún blandast bindiefninu gerir hún það seigara, og vinnur þannig gegn skriði. Ef hlutfall mélu og bindiefnis verður mjög hátt er hins vegar hætta á að malbikið verði óþjált og erfitt í útlögn </w:t>
      </w:r>
      <w:r w:rsidR="00D223BA">
        <w:rPr>
          <w:lang w:val="is-IS"/>
        </w:rPr>
        <w:t>[</w:t>
      </w:r>
      <w:r>
        <w:rPr>
          <w:lang w:val="is-IS"/>
        </w:rPr>
        <w:t>Frostman 1984, bls. 18</w:t>
      </w:r>
      <w:r w:rsidR="00D223BA">
        <w:rPr>
          <w:lang w:val="is-IS"/>
        </w:rPr>
        <w:t>]</w:t>
      </w:r>
      <w:r>
        <w:rPr>
          <w:lang w:val="is-IS"/>
        </w:rPr>
        <w:t xml:space="preserve"> og við það hækkar holrýmdin. Af þessari ástæðu m.a. eru stundum settar takmarkanir á hlutfall mélu og bindiefnis í verklýsingum.</w:t>
      </w:r>
    </w:p>
    <w:p w14:paraId="33D07D69" w14:textId="77777777" w:rsidR="004E0D12" w:rsidRDefault="004E0D12" w:rsidP="001044F8">
      <w:pPr>
        <w:ind w:firstLine="342"/>
        <w:jc w:val="both"/>
        <w:rPr>
          <w:lang w:val="is-IS"/>
        </w:rPr>
      </w:pPr>
      <w:r>
        <w:rPr>
          <w:lang w:val="is-IS"/>
        </w:rPr>
        <w:t xml:space="preserve">Rannsóknir gefa til kynna að slitþol malbiks aukist með </w:t>
      </w:r>
      <w:r w:rsidR="00D223BA">
        <w:rPr>
          <w:lang w:val="is-IS"/>
        </w:rPr>
        <w:t>efri flokkunar</w:t>
      </w:r>
      <w:r>
        <w:rPr>
          <w:lang w:val="is-IS"/>
        </w:rPr>
        <w:t xml:space="preserve">stærð, þó ekki undantekningarlaust </w:t>
      </w:r>
      <w:r w:rsidR="00D223BA">
        <w:rPr>
          <w:lang w:val="is-IS"/>
        </w:rPr>
        <w:t>[</w:t>
      </w:r>
      <w:r>
        <w:rPr>
          <w:lang w:val="is-IS"/>
        </w:rPr>
        <w:t>Frostman 1978, bls. 53; Jacobson 1998, bls. 4, Transportforsknings</w:t>
      </w:r>
      <w:r>
        <w:rPr>
          <w:lang w:val="is-IS"/>
        </w:rPr>
        <w:softHyphen/>
        <w:t>delegationen 1975, bls. 63</w:t>
      </w:r>
      <w:r w:rsidR="00D223BA">
        <w:rPr>
          <w:lang w:val="is-IS"/>
        </w:rPr>
        <w:t>]</w:t>
      </w:r>
      <w:r>
        <w:rPr>
          <w:lang w:val="is-IS"/>
        </w:rPr>
        <w:t>. Hemlunarviðnám fer að öðru jöfnu vaxandi með hámarks kornastærð, einkum á vegum þar sem negldir hjólbarðar eru notaðir á vetrum og umferðarhraði er mikill. Ástæðan er sú að yfirborð slitlagsins verður grófara með stækkandi hámarks</w:t>
      </w:r>
      <w:r>
        <w:rPr>
          <w:lang w:val="is-IS"/>
        </w:rPr>
        <w:softHyphen/>
        <w:t xml:space="preserve">kornastærð og vatn sem verður á milli hjólbarða og slitlags á greiðari leið burt en ella </w:t>
      </w:r>
      <w:r w:rsidR="00D223BA">
        <w:rPr>
          <w:lang w:val="is-IS"/>
        </w:rPr>
        <w:t>[</w:t>
      </w:r>
      <w:r>
        <w:rPr>
          <w:lang w:val="is-IS"/>
        </w:rPr>
        <w:t>Hunter 1994, bls. 62</w:t>
      </w:r>
      <w:r w:rsidR="00D223BA">
        <w:rPr>
          <w:lang w:val="is-IS"/>
        </w:rPr>
        <w:t>]</w:t>
      </w:r>
      <w:r>
        <w:rPr>
          <w:lang w:val="is-IS"/>
        </w:rPr>
        <w:t xml:space="preserve">. Á hinn bóginn eru slitlög með lítilli </w:t>
      </w:r>
      <w:r w:rsidR="00D223BA">
        <w:rPr>
          <w:lang w:val="is-IS"/>
        </w:rPr>
        <w:t>efri flokkunar</w:t>
      </w:r>
      <w:r>
        <w:rPr>
          <w:lang w:val="is-IS"/>
        </w:rPr>
        <w:t xml:space="preserve">stærð að öðru jöfnu hljóðlátari en þau sem eru úr grófara steinefni. Eftir því sem </w:t>
      </w:r>
      <w:r w:rsidR="00D223BA">
        <w:rPr>
          <w:lang w:val="is-IS"/>
        </w:rPr>
        <w:t>efri flokkunar</w:t>
      </w:r>
      <w:r>
        <w:rPr>
          <w:lang w:val="is-IS"/>
        </w:rPr>
        <w:t xml:space="preserve">stærð </w:t>
      </w:r>
      <w:r w:rsidR="00D223BA">
        <w:rPr>
          <w:lang w:val="is-IS"/>
        </w:rPr>
        <w:t>stækkar</w:t>
      </w:r>
      <w:r>
        <w:rPr>
          <w:lang w:val="is-IS"/>
        </w:rPr>
        <w:t xml:space="preserve"> er meiri hætta á aðskilnaði í </w:t>
      </w:r>
      <w:r>
        <w:rPr>
          <w:lang w:val="is-IS"/>
        </w:rPr>
        <w:lastRenderedPageBreak/>
        <w:t xml:space="preserve">malbikinu, sem kemur fram í grófum blettum sem hættir til að trosna og verða að holum með tímanum. </w:t>
      </w:r>
    </w:p>
    <w:p w14:paraId="33D07D6A" w14:textId="474206BB" w:rsidR="004E0D12" w:rsidRDefault="004E0D12" w:rsidP="001044F8">
      <w:pPr>
        <w:ind w:firstLine="342"/>
        <w:jc w:val="both"/>
        <w:rPr>
          <w:lang w:val="is-IS"/>
        </w:rPr>
      </w:pPr>
      <w:r>
        <w:rPr>
          <w:lang w:val="is-IS"/>
        </w:rPr>
        <w:t xml:space="preserve">Lögun sáldurferilsins (milli punktanna sem ákvarða hámarks kornastærð annars vegar og méluinnihald hins vegar) hefur veruleg áhrif á eiginleika malbiksins. </w:t>
      </w:r>
      <w:r w:rsidR="00C556B0">
        <w:rPr>
          <w:lang w:val="is-IS"/>
        </w:rPr>
        <w:t>Tiltölulega þ</w:t>
      </w:r>
      <w:r>
        <w:rPr>
          <w:lang w:val="is-IS"/>
        </w:rPr>
        <w:t>éttur sáldurferill</w:t>
      </w:r>
      <w:r w:rsidR="00C556B0">
        <w:rPr>
          <w:lang w:val="is-IS"/>
        </w:rPr>
        <w:t xml:space="preserve"> (eins og stífmalbik AC hefur)</w:t>
      </w:r>
      <w:r>
        <w:rPr>
          <w:lang w:val="is-IS"/>
        </w:rPr>
        <w:t xml:space="preserve"> hefur margvísleg jákvæð áhrif á eiginleika malbiksins. Festan er að jafnaði mikil að því gefnu að bindiefnisinnihaldið sé hæfilegt. Malbik með þéttum sáldurferli er að öðru jöfnu þjált í útlögn og völtun. Holrýmdin </w:t>
      </w:r>
      <w:r w:rsidR="00FA3F99">
        <w:rPr>
          <w:lang w:val="is-IS"/>
        </w:rPr>
        <w:t xml:space="preserve">er tiltölulega lág </w:t>
      </w:r>
      <w:r>
        <w:rPr>
          <w:lang w:val="is-IS"/>
        </w:rPr>
        <w:t xml:space="preserve">sem dregur úr líkum á ótímabærri hörðnun bindiefnis. Á hinn bóginn getur sáldurferillinn orðið of þéttur, þannig að ekki verði nægilegt rúm fyrir bindiefnið og þá gerist annað af tvennu, óskert bindiefnisinnihald spyrnir steinefnagrindinni sundur sem eykur hættu á skriði, eða hitt að slitlagið verður of magurt vegna þess að bindiefnisinnihaldið er haft of lítið. Í þessu efni sem oftar þarf að sigla milli skers og báru þegar þéttleiki sáldurferilsins er ákveðinn. </w:t>
      </w:r>
    </w:p>
    <w:p w14:paraId="33D07D6B" w14:textId="00A754F6" w:rsidR="004E0D12" w:rsidRDefault="004E0D12" w:rsidP="001044F8">
      <w:pPr>
        <w:ind w:firstLine="342"/>
        <w:jc w:val="both"/>
        <w:rPr>
          <w:lang w:val="is-IS"/>
        </w:rPr>
      </w:pPr>
      <w:r>
        <w:rPr>
          <w:lang w:val="is-IS"/>
        </w:rPr>
        <w:t xml:space="preserve">Stundum er sáldurferillinn af ásettu ráði hafður verulega frábrugðinn þéttasta sáldurferli.  Dæmi um þetta er svokallað drenmalbik, sem þó hefur einungis verið lagt í tilraunaskyni hérlendis. Sáldurferill drenmalbiks er hafður mjög opinn þannig að vatn geti seytlað gegnum malbikið og út til hliðanna og standi ekki uppi í hjólförum. Holrýmd í slíku malbiki er gjarna höfð 15-20%. Annað dæmi er </w:t>
      </w:r>
      <w:r w:rsidR="00FA3F99">
        <w:rPr>
          <w:lang w:val="is-IS"/>
        </w:rPr>
        <w:t xml:space="preserve">steinríkt malbik </w:t>
      </w:r>
      <w:r>
        <w:rPr>
          <w:lang w:val="is-IS"/>
        </w:rPr>
        <w:t>SMA</w:t>
      </w:r>
      <w:r w:rsidR="00FA3F99">
        <w:rPr>
          <w:lang w:val="is-IS"/>
        </w:rPr>
        <w:t xml:space="preserve"> sem talsvert hefur verið notað hérlendis á undanförnum árum</w:t>
      </w:r>
      <w:r>
        <w:rPr>
          <w:lang w:val="is-IS"/>
        </w:rPr>
        <w:t>; þar er hluti grófs steinefnis aukinn til muna á kostnað grófs sands, þannig að sáldurferillinn verður tiltölulega flatur á bilinu 1-5 mm á sáldurferlinum, en mélu- og bindiefnisinnihaldið er haft hátt til að fylla að hluta upp í holrúmið</w:t>
      </w:r>
      <w:r w:rsidR="00FA3F99">
        <w:rPr>
          <w:lang w:val="is-IS"/>
        </w:rPr>
        <w:t xml:space="preserve"> sem</w:t>
      </w:r>
      <w:r>
        <w:rPr>
          <w:lang w:val="is-IS"/>
        </w:rPr>
        <w:t xml:space="preserve"> myndast. </w:t>
      </w:r>
    </w:p>
    <w:p w14:paraId="33D07D6C" w14:textId="2E9F5D9D" w:rsidR="004E0D12" w:rsidRDefault="004E0D12" w:rsidP="001044F8">
      <w:pPr>
        <w:ind w:firstLine="342"/>
        <w:jc w:val="both"/>
        <w:rPr>
          <w:lang w:val="is-IS"/>
        </w:rPr>
      </w:pPr>
      <w:r>
        <w:rPr>
          <w:lang w:val="is-IS"/>
        </w:rPr>
        <w:t xml:space="preserve">Markalínur EN-staðlanna fyrir malbik </w:t>
      </w:r>
      <w:r w:rsidR="00D223BA">
        <w:rPr>
          <w:lang w:val="is-IS"/>
        </w:rPr>
        <w:t>[</w:t>
      </w:r>
      <w:r w:rsidR="00D223BA">
        <w:rPr>
          <w:szCs w:val="22"/>
          <w:lang w:val="is-IS"/>
        </w:rPr>
        <w:t xml:space="preserve">ÍST </w:t>
      </w:r>
      <w:r w:rsidRPr="004052CF">
        <w:rPr>
          <w:szCs w:val="22"/>
          <w:lang w:val="is-IS"/>
        </w:rPr>
        <w:t>EN 13108-1</w:t>
      </w:r>
      <w:r>
        <w:rPr>
          <w:szCs w:val="22"/>
          <w:lang w:val="is-IS"/>
        </w:rPr>
        <w:t xml:space="preserve"> og </w:t>
      </w:r>
      <w:r w:rsidR="00D223BA">
        <w:rPr>
          <w:szCs w:val="22"/>
          <w:lang w:val="is-IS"/>
        </w:rPr>
        <w:t xml:space="preserve">ÍST </w:t>
      </w:r>
      <w:r w:rsidRPr="004052CF">
        <w:rPr>
          <w:szCs w:val="22"/>
          <w:lang w:val="is-IS"/>
        </w:rPr>
        <w:t>EN 13108-5</w:t>
      </w:r>
      <w:r w:rsidR="00D223BA">
        <w:rPr>
          <w:szCs w:val="22"/>
          <w:lang w:val="is-IS"/>
        </w:rPr>
        <w:t>]</w:t>
      </w:r>
      <w:r>
        <w:rPr>
          <w:lang w:val="is-IS"/>
        </w:rPr>
        <w:t xml:space="preserve"> eru tiltölulega rúmar og leyfa margskonar sáldurferla</w:t>
      </w:r>
      <w:r w:rsidR="00E93724" w:rsidRPr="00E93724">
        <w:rPr>
          <w:lang w:val="is-IS"/>
        </w:rPr>
        <w:t xml:space="preserve"> </w:t>
      </w:r>
      <w:r w:rsidR="00E93724">
        <w:rPr>
          <w:lang w:val="is-IS"/>
        </w:rPr>
        <w:t>og fræðilega séð getur hannaður sáldurferill fylgt annarri hvorri markalínunni.</w:t>
      </w:r>
      <w:r>
        <w:rPr>
          <w:lang w:val="is-IS"/>
        </w:rPr>
        <w:t xml:space="preserve"> Samt sem áður ætti alltaf að vera keppikefli malbikshönnuða að sáldurferillinn liggi sem næst mitt á milli markalínanna, ef því verður við komið, þá verður árangurinn bestur. Jafnframt ber að forðast að sáldurferillinn slangri á milli </w:t>
      </w:r>
      <w:r w:rsidR="00E93724">
        <w:rPr>
          <w:lang w:val="is-IS"/>
        </w:rPr>
        <w:t xml:space="preserve">þeirra. </w:t>
      </w:r>
    </w:p>
    <w:p w14:paraId="33D07D6D" w14:textId="77777777" w:rsidR="004E0D12" w:rsidRDefault="004E0D12" w:rsidP="004E0D12">
      <w:pPr>
        <w:spacing w:after="60"/>
        <w:jc w:val="both"/>
        <w:rPr>
          <w:lang w:val="is-IS"/>
        </w:rPr>
      </w:pPr>
    </w:p>
    <w:p w14:paraId="33D07D6E" w14:textId="77777777" w:rsidR="00E252CB" w:rsidRPr="00E65ADA" w:rsidRDefault="00E252CB" w:rsidP="00E252CB">
      <w:pPr>
        <w:ind w:firstLine="340"/>
        <w:jc w:val="both"/>
        <w:rPr>
          <w:b/>
          <w:color w:val="FF0000"/>
          <w:lang w:val="is-IS"/>
        </w:rPr>
      </w:pPr>
      <w:r w:rsidRPr="00E65ADA">
        <w:rPr>
          <w:b/>
          <w:color w:val="FF0000"/>
          <w:lang w:val="is-IS"/>
        </w:rPr>
        <w:t>ATHUGASEMD RITSTJÓRNAR Í JANÚAR 2020</w:t>
      </w:r>
    </w:p>
    <w:p w14:paraId="33D07D6F" w14:textId="7AA78001" w:rsidR="00A57EF7" w:rsidRPr="00E65ADA" w:rsidRDefault="00E252CB" w:rsidP="00E252CB">
      <w:pPr>
        <w:spacing w:after="60"/>
        <w:jc w:val="both"/>
        <w:rPr>
          <w:color w:val="FF0000"/>
        </w:rPr>
      </w:pPr>
      <w:r w:rsidRPr="00E65ADA">
        <w:rPr>
          <w:color w:val="FF0000"/>
        </w:rPr>
        <w:t xml:space="preserve">Þessi kafli fær að halda sér að mestu leyti. </w:t>
      </w:r>
    </w:p>
    <w:p w14:paraId="33D07D70" w14:textId="77777777" w:rsidR="00E252CB" w:rsidRPr="00E65ADA" w:rsidRDefault="00E252CB" w:rsidP="00E252CB">
      <w:pPr>
        <w:spacing w:after="60"/>
        <w:jc w:val="both"/>
        <w:rPr>
          <w:color w:val="FF0000"/>
          <w:lang w:val="is-IS"/>
        </w:rPr>
      </w:pPr>
    </w:p>
    <w:p w14:paraId="33D07D71" w14:textId="77777777" w:rsidR="004E0D12" w:rsidRPr="00A57EF7" w:rsidRDefault="004E0D12" w:rsidP="00A57EF7">
      <w:pPr>
        <w:spacing w:after="60"/>
        <w:rPr>
          <w:b/>
          <w:sz w:val="24"/>
          <w:szCs w:val="24"/>
          <w:lang w:val="is-IS"/>
        </w:rPr>
      </w:pPr>
      <w:r w:rsidRPr="00A57EF7">
        <w:rPr>
          <w:b/>
          <w:sz w:val="24"/>
          <w:szCs w:val="24"/>
          <w:lang w:val="is-IS"/>
        </w:rPr>
        <w:t>HEIMILDIR</w:t>
      </w:r>
    </w:p>
    <w:p w14:paraId="33D07D72" w14:textId="77777777" w:rsidR="00E93724" w:rsidRDefault="00E93724" w:rsidP="00A57EF7">
      <w:pPr>
        <w:ind w:left="342" w:hanging="342"/>
        <w:jc w:val="both"/>
        <w:rPr>
          <w:lang w:val="is-IS"/>
        </w:rPr>
      </w:pPr>
      <w:r>
        <w:rPr>
          <w:lang w:val="is-IS"/>
        </w:rPr>
        <w:t xml:space="preserve">Evensen, R. 1970. </w:t>
      </w:r>
      <w:r w:rsidRPr="00BA04E8">
        <w:rPr>
          <w:i/>
          <w:lang w:val="is-IS"/>
        </w:rPr>
        <w:t>Bituminøse vegdekker. Internt notat for grunnkurset 1970.</w:t>
      </w:r>
      <w:r>
        <w:rPr>
          <w:lang w:val="is-IS"/>
        </w:rPr>
        <w:t xml:space="preserve"> Institutt for veg- og jernbanebygging. Norges tekniske høgskole, Trondheim.</w:t>
      </w:r>
    </w:p>
    <w:p w14:paraId="33D07D73" w14:textId="77777777" w:rsidR="00E93724" w:rsidRDefault="001F0FB6" w:rsidP="00A57EF7">
      <w:pPr>
        <w:ind w:left="340" w:hanging="340"/>
        <w:jc w:val="both"/>
        <w:rPr>
          <w:szCs w:val="22"/>
          <w:lang w:val="is-IS"/>
        </w:rPr>
      </w:pPr>
      <w:r>
        <w:rPr>
          <w:szCs w:val="22"/>
          <w:lang w:val="is-IS"/>
        </w:rPr>
        <w:t xml:space="preserve">Frostman, </w:t>
      </w:r>
      <w:r w:rsidR="00E93724">
        <w:rPr>
          <w:szCs w:val="22"/>
          <w:lang w:val="is-IS"/>
        </w:rPr>
        <w:t xml:space="preserve">P. (projektledare). 1978. </w:t>
      </w:r>
      <w:r w:rsidR="00E93724" w:rsidRPr="00CC5641">
        <w:rPr>
          <w:i/>
          <w:szCs w:val="22"/>
          <w:lang w:val="is-IS"/>
        </w:rPr>
        <w:t>Slitageundersökningar asfaltbetong.</w:t>
      </w:r>
      <w:r w:rsidR="00E93724">
        <w:rPr>
          <w:szCs w:val="22"/>
          <w:lang w:val="is-IS"/>
        </w:rPr>
        <w:t xml:space="preserve"> Samarbetet Neste –Nynäs. </w:t>
      </w:r>
    </w:p>
    <w:p w14:paraId="33D07D74" w14:textId="77777777" w:rsidR="00E93724" w:rsidRDefault="00E93724" w:rsidP="00A57EF7">
      <w:pPr>
        <w:ind w:left="342" w:hanging="342"/>
        <w:jc w:val="both"/>
        <w:rPr>
          <w:lang w:val="is-IS"/>
        </w:rPr>
      </w:pPr>
      <w:r>
        <w:rPr>
          <w:lang w:val="is-IS"/>
        </w:rPr>
        <w:t xml:space="preserve">Frostman, P., Simonsson, B. 1984. </w:t>
      </w:r>
      <w:r w:rsidRPr="00D469CD">
        <w:rPr>
          <w:i/>
          <w:lang w:val="is-IS"/>
        </w:rPr>
        <w:t xml:space="preserve">Massasammansättningens och packningsgradens inverkan på hållbarheten hos asfaltbetong. </w:t>
      </w:r>
      <w:r>
        <w:rPr>
          <w:lang w:val="is-IS"/>
        </w:rPr>
        <w:t xml:space="preserve">Rapport till förbundsutskottsmöte i Stockholm 2 och 3 juni 1984. NVF Utskott 33 Asfaltbeläggningar. </w:t>
      </w:r>
    </w:p>
    <w:p w14:paraId="33D07D75" w14:textId="77777777" w:rsidR="00E93724" w:rsidRDefault="00E93724" w:rsidP="00A57EF7">
      <w:pPr>
        <w:ind w:left="342" w:hanging="342"/>
        <w:jc w:val="both"/>
        <w:rPr>
          <w:lang w:val="is-IS"/>
        </w:rPr>
      </w:pPr>
      <w:r>
        <w:rPr>
          <w:lang w:val="is-IS"/>
        </w:rPr>
        <w:t xml:space="preserve">Hunter, Robert N. (editor). 1994. </w:t>
      </w:r>
      <w:r w:rsidRPr="00915357">
        <w:rPr>
          <w:i/>
          <w:lang w:val="is-IS"/>
        </w:rPr>
        <w:t xml:space="preserve">Bituminous Mixtures in Road Construction. </w:t>
      </w:r>
      <w:r>
        <w:rPr>
          <w:lang w:val="is-IS"/>
        </w:rPr>
        <w:t>Thomas Telford, London.</w:t>
      </w:r>
    </w:p>
    <w:p w14:paraId="33D07D76" w14:textId="18279F89" w:rsidR="00E93724" w:rsidRPr="004052CF" w:rsidRDefault="00E93724" w:rsidP="00E93724">
      <w:pPr>
        <w:ind w:left="340" w:hanging="340"/>
        <w:jc w:val="both"/>
        <w:rPr>
          <w:szCs w:val="22"/>
          <w:lang w:val="is-IS"/>
        </w:rPr>
      </w:pPr>
      <w:r>
        <w:rPr>
          <w:szCs w:val="22"/>
          <w:lang w:val="is-IS"/>
        </w:rPr>
        <w:t xml:space="preserve">ÍST </w:t>
      </w:r>
      <w:r w:rsidRPr="004052CF">
        <w:rPr>
          <w:szCs w:val="22"/>
          <w:lang w:val="is-IS"/>
        </w:rPr>
        <w:t xml:space="preserve">EN 13108-1. </w:t>
      </w:r>
      <w:r>
        <w:rPr>
          <w:i/>
          <w:szCs w:val="22"/>
          <w:lang w:val="is-IS"/>
        </w:rPr>
        <w:t>Malbiksblöndur</w:t>
      </w:r>
      <w:r w:rsidRPr="004052CF">
        <w:rPr>
          <w:i/>
          <w:szCs w:val="22"/>
          <w:lang w:val="is-IS"/>
        </w:rPr>
        <w:t xml:space="preserve"> – </w:t>
      </w:r>
      <w:r>
        <w:rPr>
          <w:i/>
          <w:szCs w:val="22"/>
          <w:lang w:val="is-IS"/>
        </w:rPr>
        <w:t>Efnislýsingar</w:t>
      </w:r>
      <w:r w:rsidRPr="004052CF">
        <w:rPr>
          <w:i/>
          <w:szCs w:val="22"/>
          <w:lang w:val="is-IS"/>
        </w:rPr>
        <w:t xml:space="preserve"> – </w:t>
      </w:r>
      <w:r>
        <w:rPr>
          <w:i/>
          <w:szCs w:val="22"/>
          <w:lang w:val="is-IS"/>
        </w:rPr>
        <w:t>Hluti</w:t>
      </w:r>
      <w:r w:rsidRPr="004052CF">
        <w:rPr>
          <w:i/>
          <w:szCs w:val="22"/>
          <w:lang w:val="is-IS"/>
        </w:rPr>
        <w:t xml:space="preserve"> 1</w:t>
      </w:r>
      <w:r>
        <w:rPr>
          <w:i/>
          <w:szCs w:val="22"/>
          <w:lang w:val="is-IS"/>
        </w:rPr>
        <w:t>: Malbik</w:t>
      </w:r>
      <w:r w:rsidRPr="004052CF">
        <w:rPr>
          <w:i/>
          <w:szCs w:val="22"/>
          <w:lang w:val="is-IS"/>
        </w:rPr>
        <w:t>.</w:t>
      </w:r>
      <w:r w:rsidRPr="004052CF">
        <w:rPr>
          <w:szCs w:val="22"/>
          <w:lang w:val="is-IS"/>
        </w:rPr>
        <w:t xml:space="preserve"> </w:t>
      </w:r>
      <w:r>
        <w:rPr>
          <w:szCs w:val="22"/>
          <w:lang w:val="is-IS"/>
        </w:rPr>
        <w:t>Staðlaráð Íslands, Reykjavík</w:t>
      </w:r>
      <w:r w:rsidRPr="004052CF">
        <w:rPr>
          <w:szCs w:val="22"/>
          <w:lang w:val="is-IS"/>
        </w:rPr>
        <w:t xml:space="preserve">. </w:t>
      </w:r>
    </w:p>
    <w:p w14:paraId="33D07D77" w14:textId="3022F3FC" w:rsidR="00E93724" w:rsidRDefault="00E93724" w:rsidP="00E93724">
      <w:pPr>
        <w:ind w:left="342" w:hanging="342"/>
        <w:jc w:val="both"/>
        <w:rPr>
          <w:lang w:val="is-IS"/>
        </w:rPr>
      </w:pPr>
      <w:r>
        <w:rPr>
          <w:szCs w:val="22"/>
          <w:lang w:val="is-IS"/>
        </w:rPr>
        <w:t xml:space="preserve">ÍST </w:t>
      </w:r>
      <w:r w:rsidRPr="004052CF">
        <w:rPr>
          <w:szCs w:val="22"/>
          <w:lang w:val="is-IS"/>
        </w:rPr>
        <w:t xml:space="preserve">EN 13108-5. </w:t>
      </w:r>
      <w:r>
        <w:rPr>
          <w:i/>
          <w:szCs w:val="22"/>
          <w:lang w:val="is-IS"/>
        </w:rPr>
        <w:t>Malbiksblöndur</w:t>
      </w:r>
      <w:r w:rsidRPr="004052CF">
        <w:rPr>
          <w:i/>
          <w:szCs w:val="22"/>
          <w:lang w:val="is-IS"/>
        </w:rPr>
        <w:t xml:space="preserve"> – </w:t>
      </w:r>
      <w:r>
        <w:rPr>
          <w:i/>
          <w:szCs w:val="22"/>
          <w:lang w:val="is-IS"/>
        </w:rPr>
        <w:t>Efnislýsingar</w:t>
      </w:r>
      <w:r w:rsidRPr="004052CF">
        <w:rPr>
          <w:i/>
          <w:szCs w:val="22"/>
          <w:lang w:val="is-IS"/>
        </w:rPr>
        <w:t xml:space="preserve"> – </w:t>
      </w:r>
      <w:r>
        <w:rPr>
          <w:i/>
          <w:szCs w:val="22"/>
          <w:lang w:val="is-IS"/>
        </w:rPr>
        <w:t>Hluti</w:t>
      </w:r>
      <w:r w:rsidRPr="004052CF">
        <w:rPr>
          <w:i/>
          <w:szCs w:val="22"/>
          <w:lang w:val="is-IS"/>
        </w:rPr>
        <w:t xml:space="preserve"> </w:t>
      </w:r>
      <w:r>
        <w:rPr>
          <w:i/>
          <w:szCs w:val="22"/>
          <w:lang w:val="is-IS"/>
        </w:rPr>
        <w:t>5: Steinríkt malbik (SMA)</w:t>
      </w:r>
      <w:r w:rsidRPr="004052CF">
        <w:rPr>
          <w:i/>
          <w:szCs w:val="22"/>
          <w:lang w:val="is-IS"/>
        </w:rPr>
        <w:t>.</w:t>
      </w:r>
      <w:r w:rsidRPr="0025213F">
        <w:rPr>
          <w:szCs w:val="22"/>
          <w:lang w:val="is-IS"/>
        </w:rPr>
        <w:t xml:space="preserve"> </w:t>
      </w:r>
      <w:r>
        <w:rPr>
          <w:szCs w:val="22"/>
          <w:lang w:val="is-IS"/>
        </w:rPr>
        <w:t>Staðlaráð Íslands, Reykjavík</w:t>
      </w:r>
      <w:r w:rsidRPr="004052CF">
        <w:rPr>
          <w:szCs w:val="22"/>
          <w:lang w:val="is-IS"/>
        </w:rPr>
        <w:t>.</w:t>
      </w:r>
    </w:p>
    <w:p w14:paraId="33D07D78" w14:textId="77777777" w:rsidR="00E93724" w:rsidRDefault="00E93724" w:rsidP="00A57EF7">
      <w:pPr>
        <w:ind w:left="342" w:hanging="342"/>
        <w:jc w:val="both"/>
        <w:rPr>
          <w:lang w:val="is-IS"/>
        </w:rPr>
      </w:pPr>
      <w:r>
        <w:rPr>
          <w:lang w:val="is-IS"/>
        </w:rPr>
        <w:t xml:space="preserve">Jacobson T., Wågberg, L-G. 1998. </w:t>
      </w:r>
      <w:r w:rsidRPr="00CC5641">
        <w:rPr>
          <w:i/>
          <w:lang w:val="is-IS"/>
        </w:rPr>
        <w:t>D</w:t>
      </w:r>
      <w:r>
        <w:rPr>
          <w:i/>
          <w:lang w:val="is-IS"/>
        </w:rPr>
        <w:t>evelopment of prediction model for pavement wear, wear profile and annual cost.</w:t>
      </w:r>
      <w:r w:rsidRPr="00CC5641">
        <w:rPr>
          <w:i/>
          <w:lang w:val="is-IS"/>
        </w:rPr>
        <w:t xml:space="preserve"> </w:t>
      </w:r>
      <w:r>
        <w:rPr>
          <w:lang w:val="is-IS"/>
        </w:rPr>
        <w:t>VTI notat 76A-1998. Swedish National Road and Transport Research Institute. Linköping.</w:t>
      </w:r>
    </w:p>
    <w:p w14:paraId="33D07D79" w14:textId="77777777" w:rsidR="00E93724" w:rsidRDefault="00E93724" w:rsidP="00A57EF7">
      <w:pPr>
        <w:ind w:left="342" w:hanging="342"/>
        <w:jc w:val="both"/>
        <w:rPr>
          <w:lang w:val="is-IS"/>
        </w:rPr>
      </w:pPr>
      <w:r>
        <w:rPr>
          <w:lang w:val="is-IS"/>
        </w:rPr>
        <w:t xml:space="preserve">Transportforskningsdelegationen. 1975. </w:t>
      </w:r>
      <w:r w:rsidRPr="00C94989">
        <w:rPr>
          <w:i/>
          <w:lang w:val="is-IS"/>
        </w:rPr>
        <w:t>Dubbdäck.</w:t>
      </w:r>
      <w:r>
        <w:rPr>
          <w:lang w:val="is-IS"/>
        </w:rPr>
        <w:t xml:space="preserve"> Transportforskningsdelegationen 1975:4. Stockholm.</w:t>
      </w:r>
    </w:p>
    <w:p w14:paraId="33D07D7A" w14:textId="77777777" w:rsidR="004E0D12" w:rsidRDefault="004E0D12" w:rsidP="004E0D12">
      <w:pPr>
        <w:spacing w:after="60"/>
        <w:jc w:val="both"/>
        <w:rPr>
          <w:lang w:val="is-IS"/>
        </w:rPr>
      </w:pPr>
    </w:p>
    <w:p w14:paraId="33D07D7B" w14:textId="77777777" w:rsidR="004E0D12" w:rsidRDefault="004E0D12" w:rsidP="004E0D12">
      <w:pPr>
        <w:ind w:left="342" w:hanging="342"/>
        <w:jc w:val="both"/>
        <w:rPr>
          <w:lang w:val="is-IS"/>
        </w:rPr>
      </w:pPr>
    </w:p>
    <w:p w14:paraId="33D07D7C" w14:textId="77777777" w:rsidR="004E0D12" w:rsidRDefault="004E0D12" w:rsidP="004E0D12">
      <w:pPr>
        <w:spacing w:after="60"/>
        <w:ind w:left="342" w:hanging="342"/>
        <w:jc w:val="both"/>
        <w:rPr>
          <w:lang w:val="is-IS"/>
        </w:rPr>
      </w:pPr>
    </w:p>
    <w:p w14:paraId="33D07D7D" w14:textId="77777777" w:rsidR="004E0D12" w:rsidRPr="006E1857" w:rsidRDefault="004E0D12" w:rsidP="004E0D12">
      <w:pPr>
        <w:ind w:left="342" w:hanging="342"/>
        <w:jc w:val="both"/>
        <w:rPr>
          <w:lang w:val="is-IS"/>
        </w:rPr>
      </w:pPr>
    </w:p>
    <w:p w14:paraId="33D07D7E" w14:textId="77777777" w:rsidR="004E0D12" w:rsidRDefault="004E0D12" w:rsidP="004E0D12">
      <w:pPr>
        <w:spacing w:after="60"/>
        <w:jc w:val="both"/>
        <w:rPr>
          <w:lang w:val="is-IS"/>
        </w:rPr>
      </w:pPr>
    </w:p>
    <w:p w14:paraId="33D07D7F" w14:textId="77777777" w:rsidR="00E93724" w:rsidRDefault="00E93724" w:rsidP="004E0D12">
      <w:pPr>
        <w:spacing w:after="60"/>
        <w:jc w:val="both"/>
        <w:rPr>
          <w:lang w:val="is-IS"/>
        </w:rPr>
      </w:pPr>
    </w:p>
    <w:p w14:paraId="33D07D89" w14:textId="77777777" w:rsidR="00523599" w:rsidRPr="006868A9" w:rsidRDefault="00523599" w:rsidP="006868A9">
      <w:pPr>
        <w:pStyle w:val="Heading1"/>
      </w:pPr>
      <w:bookmarkStart w:id="14" w:name="_Toc52974019"/>
      <w:r w:rsidRPr="006868A9">
        <w:t>UM SKRIÐ Í ÍSLENSKU MALBIKI</w:t>
      </w:r>
      <w:bookmarkEnd w:id="14"/>
    </w:p>
    <w:p w14:paraId="33D07D8A" w14:textId="77777777" w:rsidR="00523599" w:rsidRPr="00F01789" w:rsidRDefault="00523599" w:rsidP="006868A9">
      <w:pPr>
        <w:pStyle w:val="Heading2"/>
        <w:rPr>
          <w:lang w:val="is-IS"/>
        </w:rPr>
      </w:pPr>
      <w:bookmarkStart w:id="15" w:name="_Toc52974020"/>
      <w:r w:rsidRPr="00F01789">
        <w:rPr>
          <w:lang w:val="is-IS"/>
        </w:rPr>
        <w:t>Inngangur</w:t>
      </w:r>
      <w:bookmarkEnd w:id="15"/>
    </w:p>
    <w:p w14:paraId="33D07D8B" w14:textId="77777777" w:rsidR="00523599" w:rsidRPr="00213EA2" w:rsidRDefault="00523599" w:rsidP="00F01789">
      <w:pPr>
        <w:jc w:val="both"/>
        <w:rPr>
          <w:szCs w:val="22"/>
          <w:lang w:val="is-IS"/>
        </w:rPr>
      </w:pPr>
      <w:r w:rsidRPr="00213EA2">
        <w:rPr>
          <w:szCs w:val="22"/>
          <w:lang w:val="is-IS"/>
        </w:rPr>
        <w:t>Hjólför eru langalgengasta orsök endurnýjunar</w:t>
      </w:r>
      <w:r>
        <w:rPr>
          <w:szCs w:val="22"/>
          <w:lang w:val="is-IS"/>
        </w:rPr>
        <w:t xml:space="preserve"> á slitlögum</w:t>
      </w:r>
      <w:r w:rsidRPr="00213EA2">
        <w:rPr>
          <w:szCs w:val="22"/>
          <w:lang w:val="is-IS"/>
        </w:rPr>
        <w:t xml:space="preserve"> hérlendis. Hjólför í malbiki myndast af þrem ástæðum; sliti, sigi og skriði. </w:t>
      </w:r>
    </w:p>
    <w:p w14:paraId="33D07D8C" w14:textId="77777777" w:rsidR="00523599" w:rsidRPr="00213EA2" w:rsidRDefault="00523599" w:rsidP="00523599">
      <w:pPr>
        <w:ind w:firstLine="342"/>
        <w:jc w:val="both"/>
        <w:rPr>
          <w:szCs w:val="22"/>
          <w:lang w:val="is-IS"/>
        </w:rPr>
      </w:pPr>
      <w:r>
        <w:rPr>
          <w:szCs w:val="22"/>
          <w:lang w:val="is-IS"/>
        </w:rPr>
        <w:t>Hérlendis á s</w:t>
      </w:r>
      <w:r w:rsidRPr="00213EA2">
        <w:rPr>
          <w:szCs w:val="22"/>
          <w:lang w:val="is-IS"/>
        </w:rPr>
        <w:t>lit ótvírætt mestan þátt í hjólfaramyndun. Það stafar nánast eingöngu af notkun negldra hjólbarða</w:t>
      </w:r>
      <w:r>
        <w:rPr>
          <w:szCs w:val="22"/>
          <w:lang w:val="is-IS"/>
        </w:rPr>
        <w:t xml:space="preserve"> og stendur að öðru jöfnu í öfugu hlutfalli við slitþol steinefnisins í malbikinu</w:t>
      </w:r>
      <w:r w:rsidRPr="00213EA2">
        <w:rPr>
          <w:szCs w:val="22"/>
          <w:lang w:val="is-IS"/>
        </w:rPr>
        <w:t>.</w:t>
      </w:r>
    </w:p>
    <w:p w14:paraId="33D07D8D" w14:textId="326C4F4A" w:rsidR="00523599" w:rsidRPr="00213EA2" w:rsidRDefault="00523599" w:rsidP="00523599">
      <w:pPr>
        <w:ind w:firstLine="342"/>
        <w:jc w:val="both"/>
        <w:rPr>
          <w:szCs w:val="22"/>
          <w:lang w:val="is-IS"/>
        </w:rPr>
      </w:pPr>
      <w:r w:rsidRPr="00213EA2">
        <w:rPr>
          <w:szCs w:val="22"/>
          <w:lang w:val="is-IS"/>
        </w:rPr>
        <w:t xml:space="preserve">Sig getur stafað af lélegri undirbyggingu, hún lætur smám saman undan og malbikið fylgir á eftir. Ef sigið er mikið og bundið við hjólförin myndast stundum sprungur til hliðar við hjólförin og samsíða þeim. Önnur orsök sigs er lóðrétt samþjöppun í malbikinu </w:t>
      </w:r>
      <w:r w:rsidR="008356CA">
        <w:rPr>
          <w:szCs w:val="22"/>
          <w:lang w:val="is-IS"/>
        </w:rPr>
        <w:t>sem orsakast af ónógri þjöppun þess strax eftir útlögn</w:t>
      </w:r>
      <w:r w:rsidRPr="00213EA2">
        <w:rPr>
          <w:szCs w:val="22"/>
          <w:lang w:val="is-IS"/>
        </w:rPr>
        <w:t xml:space="preserve">. Hjólför af þessari ástæðu eru mjög grunn, í mesta lagi 2-3 mm í 50 mm þykku slitlagi, og koma fram á fyrsta sumri eftir útlögn. </w:t>
      </w:r>
    </w:p>
    <w:p w14:paraId="33D07D8E" w14:textId="77777777" w:rsidR="00523599" w:rsidRPr="00213EA2" w:rsidRDefault="00523599" w:rsidP="00523599">
      <w:pPr>
        <w:ind w:firstLine="342"/>
        <w:jc w:val="both"/>
        <w:rPr>
          <w:szCs w:val="22"/>
          <w:lang w:val="is-IS"/>
        </w:rPr>
      </w:pPr>
      <w:r w:rsidRPr="00213EA2">
        <w:rPr>
          <w:szCs w:val="22"/>
          <w:lang w:val="is-IS"/>
        </w:rPr>
        <w:t xml:space="preserve">Skrið </w:t>
      </w:r>
      <w:r>
        <w:rPr>
          <w:szCs w:val="22"/>
          <w:lang w:val="is-IS"/>
        </w:rPr>
        <w:t>þekkist á því að</w:t>
      </w:r>
      <w:r w:rsidRPr="00213EA2">
        <w:rPr>
          <w:szCs w:val="22"/>
          <w:lang w:val="is-IS"/>
        </w:rPr>
        <w:t xml:space="preserve"> malbikið </w:t>
      </w:r>
      <w:r>
        <w:rPr>
          <w:szCs w:val="22"/>
          <w:lang w:val="is-IS"/>
        </w:rPr>
        <w:t>skríður</w:t>
      </w:r>
      <w:r w:rsidRPr="00213EA2">
        <w:rPr>
          <w:szCs w:val="22"/>
          <w:lang w:val="is-IS"/>
        </w:rPr>
        <w:t xml:space="preserve"> til í lárétta stefnu, mestan part þvert á umferðarstefnuna </w:t>
      </w:r>
      <w:r>
        <w:rPr>
          <w:szCs w:val="22"/>
          <w:lang w:val="is-IS"/>
        </w:rPr>
        <w:t xml:space="preserve">og myndar þá hryggi til hliðar við kröpp hjólför. Malbikið getur líka </w:t>
      </w:r>
      <w:r w:rsidRPr="00213EA2">
        <w:rPr>
          <w:szCs w:val="22"/>
          <w:lang w:val="is-IS"/>
        </w:rPr>
        <w:t>skriðið til í umferðarstefnuna, einkum þar sem þungir bíla hemla og taka af stað</w:t>
      </w:r>
      <w:r>
        <w:rPr>
          <w:szCs w:val="22"/>
          <w:lang w:val="is-IS"/>
        </w:rPr>
        <w:t>,</w:t>
      </w:r>
      <w:r w:rsidRPr="00213EA2">
        <w:rPr>
          <w:szCs w:val="22"/>
          <w:lang w:val="is-IS"/>
        </w:rPr>
        <w:t xml:space="preserve"> t.d. við umferðarljós. Skrið getur átt verulegan þátt í hjólfaramyndun en</w:t>
      </w:r>
      <w:r>
        <w:rPr>
          <w:szCs w:val="22"/>
          <w:lang w:val="is-IS"/>
        </w:rPr>
        <w:t xml:space="preserve"> er talið stafa frá umferð þungra bíla</w:t>
      </w:r>
      <w:r w:rsidR="008356CA">
        <w:rPr>
          <w:szCs w:val="22"/>
          <w:lang w:val="is-IS"/>
        </w:rPr>
        <w:t xml:space="preserve"> á heitum dögum að sumarlagi</w:t>
      </w:r>
      <w:r>
        <w:rPr>
          <w:szCs w:val="22"/>
          <w:lang w:val="is-IS"/>
        </w:rPr>
        <w:t xml:space="preserve"> að langmestu leyti [Wiman 2000]</w:t>
      </w:r>
      <w:r w:rsidRPr="00213EA2">
        <w:rPr>
          <w:szCs w:val="22"/>
          <w:lang w:val="is-IS"/>
        </w:rPr>
        <w:t xml:space="preserve">.  </w:t>
      </w:r>
    </w:p>
    <w:p w14:paraId="33D07D90" w14:textId="1F1EF812" w:rsidR="00523599" w:rsidRPr="00213EA2" w:rsidRDefault="00523599" w:rsidP="00D14E7C">
      <w:pPr>
        <w:ind w:firstLine="342"/>
        <w:jc w:val="both"/>
        <w:rPr>
          <w:szCs w:val="22"/>
          <w:lang w:val="is-IS"/>
        </w:rPr>
      </w:pPr>
      <w:r w:rsidRPr="00213EA2">
        <w:rPr>
          <w:szCs w:val="22"/>
          <w:lang w:val="is-IS"/>
        </w:rPr>
        <w:t xml:space="preserve">Í þessum pistli verða talin fram rök með og á móti því að skrið sé marktækur þáttur í hjólfaramyndun í íslensku malbiki, hvaða úrbætur komi til greina ef svo er, ásamt líklegum fylgifiskum þeirra.  </w:t>
      </w:r>
    </w:p>
    <w:p w14:paraId="33D07D91" w14:textId="77777777" w:rsidR="00523599" w:rsidRPr="00F01789" w:rsidRDefault="00523599" w:rsidP="006868A9">
      <w:pPr>
        <w:pStyle w:val="Heading2"/>
        <w:rPr>
          <w:lang w:val="is-IS"/>
        </w:rPr>
      </w:pPr>
      <w:bookmarkStart w:id="16" w:name="_Toc52974021"/>
      <w:r w:rsidRPr="00F01789">
        <w:rPr>
          <w:lang w:val="is-IS"/>
        </w:rPr>
        <w:t>Mælingar á skriði í rannsóknastofu</w:t>
      </w:r>
      <w:bookmarkEnd w:id="16"/>
      <w:r w:rsidRPr="00F01789">
        <w:rPr>
          <w:lang w:val="is-IS"/>
        </w:rPr>
        <w:t xml:space="preserve"> </w:t>
      </w:r>
    </w:p>
    <w:p w14:paraId="33D07D92" w14:textId="28CF07BE" w:rsidR="00523599" w:rsidRPr="00213EA2" w:rsidRDefault="00523599" w:rsidP="001044F8">
      <w:pPr>
        <w:jc w:val="both"/>
        <w:rPr>
          <w:szCs w:val="22"/>
          <w:lang w:val="is-IS"/>
        </w:rPr>
      </w:pPr>
      <w:r>
        <w:rPr>
          <w:szCs w:val="22"/>
          <w:lang w:val="is-IS"/>
        </w:rPr>
        <w:t xml:space="preserve">Við Háskóla Íslands </w:t>
      </w:r>
      <w:r w:rsidRPr="00213EA2">
        <w:rPr>
          <w:szCs w:val="22"/>
          <w:lang w:val="is-IS"/>
        </w:rPr>
        <w:t>[Elísabet S. Urbancic</w:t>
      </w:r>
      <w:r w:rsidR="001D10CA">
        <w:rPr>
          <w:szCs w:val="22"/>
          <w:lang w:val="is-IS"/>
        </w:rPr>
        <w:t xml:space="preserve"> 1998</w:t>
      </w:r>
      <w:r w:rsidRPr="00213EA2">
        <w:rPr>
          <w:szCs w:val="22"/>
          <w:lang w:val="is-IS"/>
        </w:rPr>
        <w:t xml:space="preserve">] </w:t>
      </w:r>
      <w:r>
        <w:rPr>
          <w:szCs w:val="22"/>
          <w:lang w:val="is-IS"/>
        </w:rPr>
        <w:t xml:space="preserve">voru </w:t>
      </w:r>
      <w:r w:rsidRPr="00213EA2">
        <w:rPr>
          <w:szCs w:val="22"/>
          <w:lang w:val="is-IS"/>
        </w:rPr>
        <w:t>m.a.</w:t>
      </w:r>
      <w:r>
        <w:rPr>
          <w:szCs w:val="22"/>
          <w:lang w:val="is-IS"/>
        </w:rPr>
        <w:t xml:space="preserve"> gerðar</w:t>
      </w:r>
      <w:r w:rsidRPr="00213EA2">
        <w:rPr>
          <w:szCs w:val="22"/>
          <w:lang w:val="is-IS"/>
        </w:rPr>
        <w:t xml:space="preserve"> skriðprófanir á fimm </w:t>
      </w:r>
      <w:r>
        <w:rPr>
          <w:szCs w:val="22"/>
          <w:lang w:val="is-IS"/>
        </w:rPr>
        <w:t>sýnum af íslensku malbiki</w:t>
      </w:r>
      <w:r w:rsidRPr="00213EA2">
        <w:rPr>
          <w:szCs w:val="22"/>
          <w:lang w:val="is-IS"/>
        </w:rPr>
        <w:t xml:space="preserve"> 1997. Malbikið var </w:t>
      </w:r>
      <w:r w:rsidR="00C96A21">
        <w:rPr>
          <w:szCs w:val="22"/>
          <w:lang w:val="is-IS"/>
        </w:rPr>
        <w:t>stífmalbik AC</w:t>
      </w:r>
      <w:r w:rsidRPr="00213EA2">
        <w:rPr>
          <w:szCs w:val="22"/>
          <w:lang w:val="is-IS"/>
        </w:rPr>
        <w:t xml:space="preserve">16, tekið af bíl og þjappað í Marshallhamri. Steinefnið var að mestu frá Seljadal, stungudýpt biksins var 89 mm/10, festan </w:t>
      </w:r>
      <w:r>
        <w:rPr>
          <w:szCs w:val="22"/>
          <w:lang w:val="is-IS"/>
        </w:rPr>
        <w:t>11</w:t>
      </w:r>
      <w:r w:rsidRPr="00213EA2">
        <w:rPr>
          <w:szCs w:val="22"/>
          <w:lang w:val="is-IS"/>
        </w:rPr>
        <w:t xml:space="preserve"> kN, sig 5,7 mm og holrýmd 1,1%. Mælingarnar voru gerðar við 40°C. Meðaltal skriðs (eftir 3</w:t>
      </w:r>
      <w:r>
        <w:rPr>
          <w:szCs w:val="22"/>
          <w:lang w:val="is-IS"/>
        </w:rPr>
        <w:t>.</w:t>
      </w:r>
      <w:r w:rsidRPr="00213EA2">
        <w:rPr>
          <w:szCs w:val="22"/>
          <w:lang w:val="is-IS"/>
        </w:rPr>
        <w:t>600 álagspúlsa) í þessum fimm Marshallkjörnum var 12</w:t>
      </w:r>
      <w:r>
        <w:rPr>
          <w:szCs w:val="22"/>
          <w:lang w:val="is-IS"/>
        </w:rPr>
        <w:t>.</w:t>
      </w:r>
      <w:r w:rsidRPr="00213EA2">
        <w:rPr>
          <w:szCs w:val="22"/>
          <w:lang w:val="is-IS"/>
        </w:rPr>
        <w:t>600 με (staðalfrávik meðaltalsins 2</w:t>
      </w:r>
      <w:r>
        <w:rPr>
          <w:szCs w:val="22"/>
          <w:lang w:val="is-IS"/>
        </w:rPr>
        <w:t>.</w:t>
      </w:r>
      <w:r w:rsidRPr="00213EA2">
        <w:rPr>
          <w:szCs w:val="22"/>
          <w:lang w:val="is-IS"/>
        </w:rPr>
        <w:t xml:space="preserve">000 με). Skriðhraðinn var að meðaltali 0,90 με/álagspúls (staðalfrávik meðaltalsins 0,14 με/álagspúls). Elísabet telur niðurstöðurnar sýna að </w:t>
      </w:r>
      <w:r>
        <w:rPr>
          <w:szCs w:val="22"/>
          <w:lang w:val="is-IS"/>
        </w:rPr>
        <w:t>malbikið hafi svipað</w:t>
      </w:r>
      <w:r w:rsidR="00A7635A">
        <w:rPr>
          <w:szCs w:val="22"/>
          <w:lang w:val="is-IS"/>
        </w:rPr>
        <w:t>a</w:t>
      </w:r>
      <w:r>
        <w:rPr>
          <w:szCs w:val="22"/>
          <w:lang w:val="is-IS"/>
        </w:rPr>
        <w:t xml:space="preserve"> eiginleika og erlendar malbiksgerðir hvað skrið snertir</w:t>
      </w:r>
      <w:r w:rsidRPr="00213EA2">
        <w:rPr>
          <w:szCs w:val="22"/>
          <w:lang w:val="is-IS"/>
        </w:rPr>
        <w:t>; hefur þó fyrirvara á niðurstöðunum þar eð sum sýnin höfðu áður verið notuð til annarra prófana.</w:t>
      </w:r>
    </w:p>
    <w:p w14:paraId="33D07D93" w14:textId="4C6D095E" w:rsidR="00523599" w:rsidRPr="00213EA2" w:rsidRDefault="00523599" w:rsidP="00523599">
      <w:pPr>
        <w:ind w:firstLine="342"/>
        <w:jc w:val="both"/>
        <w:rPr>
          <w:szCs w:val="22"/>
          <w:lang w:val="is-IS"/>
        </w:rPr>
      </w:pPr>
      <w:r>
        <w:rPr>
          <w:szCs w:val="22"/>
          <w:lang w:val="is-IS"/>
        </w:rPr>
        <w:t xml:space="preserve">Þessum rannsóknum við Háskóla Íslands var haldið áfram 1998 </w:t>
      </w:r>
      <w:r w:rsidRPr="00213EA2">
        <w:rPr>
          <w:szCs w:val="22"/>
          <w:lang w:val="is-IS"/>
        </w:rPr>
        <w:t>[</w:t>
      </w:r>
      <w:r>
        <w:rPr>
          <w:szCs w:val="22"/>
          <w:lang w:val="is-IS"/>
        </w:rPr>
        <w:t>Bergþóra Kristinsdóttir 1999</w:t>
      </w:r>
      <w:r w:rsidRPr="00213EA2">
        <w:rPr>
          <w:szCs w:val="22"/>
          <w:lang w:val="is-IS"/>
        </w:rPr>
        <w:t>]</w:t>
      </w:r>
      <w:r>
        <w:rPr>
          <w:szCs w:val="22"/>
          <w:lang w:val="is-IS"/>
        </w:rPr>
        <w:t>.</w:t>
      </w:r>
      <w:r w:rsidRPr="00213EA2">
        <w:rPr>
          <w:szCs w:val="22"/>
          <w:lang w:val="is-IS"/>
        </w:rPr>
        <w:t xml:space="preserve"> </w:t>
      </w:r>
      <w:r>
        <w:rPr>
          <w:szCs w:val="22"/>
          <w:lang w:val="is-IS"/>
        </w:rPr>
        <w:t>Þá var sömuleiðis mælt</w:t>
      </w:r>
      <w:r w:rsidRPr="00213EA2">
        <w:rPr>
          <w:szCs w:val="22"/>
          <w:lang w:val="is-IS"/>
        </w:rPr>
        <w:t xml:space="preserve"> skrið á Marshallkjörnum gerðum úr malbiki af gerðinni </w:t>
      </w:r>
      <w:r w:rsidR="00A7635A">
        <w:rPr>
          <w:szCs w:val="22"/>
          <w:lang w:val="is-IS"/>
        </w:rPr>
        <w:t xml:space="preserve">AC16 með PG 180/220 biki </w:t>
      </w:r>
      <w:r w:rsidRPr="00213EA2">
        <w:rPr>
          <w:szCs w:val="22"/>
          <w:lang w:val="is-IS"/>
        </w:rPr>
        <w:t>frá Malbikunarstöðinni Höfða.</w:t>
      </w:r>
      <w:r>
        <w:rPr>
          <w:szCs w:val="22"/>
          <w:lang w:val="is-IS"/>
        </w:rPr>
        <w:t xml:space="preserve"> </w:t>
      </w:r>
      <w:r w:rsidRPr="00213EA2">
        <w:rPr>
          <w:szCs w:val="22"/>
          <w:lang w:val="is-IS"/>
        </w:rPr>
        <w:t>Kjarnarnir voru 100 mm í þvermál, þjappaðir í þrem flokkum, einn flokkur með 2</w:t>
      </w:r>
      <w:r>
        <w:rPr>
          <w:szCs w:val="22"/>
          <w:lang w:val="is-IS"/>
        </w:rPr>
        <w:t xml:space="preserve"> x </w:t>
      </w:r>
      <w:r w:rsidRPr="00213EA2">
        <w:rPr>
          <w:szCs w:val="22"/>
          <w:lang w:val="is-IS"/>
        </w:rPr>
        <w:t>35 höggum, annar með 2</w:t>
      </w:r>
      <w:r>
        <w:rPr>
          <w:szCs w:val="22"/>
          <w:lang w:val="is-IS"/>
        </w:rPr>
        <w:t xml:space="preserve"> x </w:t>
      </w:r>
      <w:r w:rsidRPr="00213EA2">
        <w:rPr>
          <w:szCs w:val="22"/>
          <w:lang w:val="is-IS"/>
        </w:rPr>
        <w:t>50 höggum og sá þriðji með 2</w:t>
      </w:r>
      <w:r>
        <w:rPr>
          <w:szCs w:val="22"/>
          <w:lang w:val="is-IS"/>
        </w:rPr>
        <w:t xml:space="preserve"> x </w:t>
      </w:r>
      <w:r w:rsidRPr="00213EA2">
        <w:rPr>
          <w:szCs w:val="22"/>
          <w:lang w:val="is-IS"/>
        </w:rPr>
        <w:t>75 höggum. Þrátt fyrir mismunandi þjöppun reyndust Marshalleiginleikarnir svipaðir í öllum flokkun</w:t>
      </w:r>
      <w:r w:rsidR="001F0FB6">
        <w:rPr>
          <w:szCs w:val="22"/>
          <w:lang w:val="is-IS"/>
        </w:rPr>
        <w:t>um, holrýmdin 1,0-1,1%, festan</w:t>
      </w:r>
      <w:r w:rsidRPr="00213EA2">
        <w:rPr>
          <w:szCs w:val="22"/>
          <w:lang w:val="is-IS"/>
        </w:rPr>
        <w:t xml:space="preserve"> á bilinu 11-13 kN og sigið á bilinu 3,2-4,1 mm. Mælingar voru gerðar við 40°C. Skriðið var minnst í kjörnunum með 35 högga þjöppun, 10</w:t>
      </w:r>
      <w:r>
        <w:rPr>
          <w:szCs w:val="22"/>
          <w:lang w:val="is-IS"/>
        </w:rPr>
        <w:t>.</w:t>
      </w:r>
      <w:r w:rsidRPr="00213EA2">
        <w:rPr>
          <w:szCs w:val="22"/>
          <w:lang w:val="is-IS"/>
        </w:rPr>
        <w:t>900 με, en álíka í hinum flokkunum tveim, um 14</w:t>
      </w:r>
      <w:r>
        <w:rPr>
          <w:szCs w:val="22"/>
          <w:lang w:val="is-IS"/>
        </w:rPr>
        <w:t>.</w:t>
      </w:r>
      <w:r w:rsidRPr="00213EA2">
        <w:rPr>
          <w:szCs w:val="22"/>
          <w:lang w:val="is-IS"/>
        </w:rPr>
        <w:t>500 με. Skriðhraðinn var mjög svipaður í öllum flokkunum, kringum 0,5 με/álagspúls. Staðalfrávik meðaltalanna er 800-1</w:t>
      </w:r>
      <w:r>
        <w:rPr>
          <w:szCs w:val="22"/>
          <w:lang w:val="is-IS"/>
        </w:rPr>
        <w:t>.</w:t>
      </w:r>
      <w:r w:rsidRPr="00213EA2">
        <w:rPr>
          <w:szCs w:val="22"/>
          <w:lang w:val="is-IS"/>
        </w:rPr>
        <w:t>400 με fyrir skrið en um 0,1 με/álagspúls fyrir skriðhraða.</w:t>
      </w:r>
    </w:p>
    <w:p w14:paraId="33D07D94" w14:textId="09833662" w:rsidR="00523599" w:rsidRPr="00213EA2" w:rsidRDefault="00523599" w:rsidP="00523599">
      <w:pPr>
        <w:ind w:firstLine="342"/>
        <w:jc w:val="both"/>
        <w:rPr>
          <w:szCs w:val="22"/>
          <w:lang w:val="is-IS"/>
        </w:rPr>
      </w:pPr>
      <w:r w:rsidRPr="00213EA2">
        <w:rPr>
          <w:szCs w:val="22"/>
          <w:lang w:val="is-IS"/>
        </w:rPr>
        <w:t xml:space="preserve">Brynhildur Magnúsdóttir mældi </w:t>
      </w:r>
      <w:r>
        <w:rPr>
          <w:szCs w:val="22"/>
          <w:lang w:val="is-IS"/>
        </w:rPr>
        <w:t xml:space="preserve">skrið </w:t>
      </w:r>
      <w:r w:rsidRPr="00213EA2">
        <w:rPr>
          <w:szCs w:val="22"/>
          <w:lang w:val="is-IS"/>
        </w:rPr>
        <w:t>á allmörgum borkjörnum sem teknir voru úr þrem köflum sem höfðu verið endurlagðir</w:t>
      </w:r>
      <w:r w:rsidR="00A7635A">
        <w:rPr>
          <w:szCs w:val="22"/>
          <w:lang w:val="is-IS"/>
        </w:rPr>
        <w:t xml:space="preserve"> (e. repave)</w:t>
      </w:r>
      <w:r w:rsidRPr="00213EA2">
        <w:rPr>
          <w:szCs w:val="22"/>
          <w:lang w:val="is-IS"/>
        </w:rPr>
        <w:t xml:space="preserve"> með </w:t>
      </w:r>
      <w:r w:rsidR="00A7635A">
        <w:rPr>
          <w:szCs w:val="22"/>
          <w:lang w:val="is-IS"/>
        </w:rPr>
        <w:t>steinríku malbiki (</w:t>
      </w:r>
      <w:r w:rsidRPr="00213EA2">
        <w:rPr>
          <w:szCs w:val="22"/>
          <w:lang w:val="is-IS"/>
        </w:rPr>
        <w:t>SMA</w:t>
      </w:r>
      <w:r w:rsidR="00A7635A">
        <w:rPr>
          <w:szCs w:val="22"/>
          <w:lang w:val="is-IS"/>
        </w:rPr>
        <w:t>)</w:t>
      </w:r>
      <w:r w:rsidRPr="00213EA2">
        <w:rPr>
          <w:szCs w:val="22"/>
          <w:lang w:val="is-IS"/>
        </w:rPr>
        <w:t xml:space="preserve"> og einum kafla með venjulegu SMA </w:t>
      </w:r>
      <w:r w:rsidR="00A7635A">
        <w:rPr>
          <w:szCs w:val="22"/>
          <w:lang w:val="is-IS"/>
        </w:rPr>
        <w:t>malbiki</w:t>
      </w:r>
      <w:r w:rsidR="00A7635A" w:rsidRPr="00213EA2">
        <w:rPr>
          <w:szCs w:val="22"/>
          <w:lang w:val="is-IS"/>
        </w:rPr>
        <w:t xml:space="preserve"> </w:t>
      </w:r>
      <w:r w:rsidRPr="00213EA2">
        <w:rPr>
          <w:szCs w:val="22"/>
          <w:lang w:val="is-IS"/>
        </w:rPr>
        <w:t>á gamalt malbik. Endurlögðu kaflarnir voru á Reykjanesbraut, SMA16, holrýmd 0,6%</w:t>
      </w:r>
      <w:r>
        <w:rPr>
          <w:szCs w:val="22"/>
          <w:lang w:val="is-IS"/>
        </w:rPr>
        <w:t>;</w:t>
      </w:r>
      <w:r w:rsidRPr="00213EA2">
        <w:rPr>
          <w:szCs w:val="22"/>
          <w:lang w:val="is-IS"/>
        </w:rPr>
        <w:t xml:space="preserve"> á Kringlumýrarbraut, SMA16, holrýmd 1,4% og á Hafnarfjarðarvegi, SMA16, holrýmd 3,3%. Kaflinn með hefðbundinni yfirlögn var á Sæbraut, SMA16, holrýmd 1,7%. Borkjarnarnir voru 150 mm þvermál og voru prófaðir samkvæmt sænskri verklýsingu [FAS, án ártals]. Úr hverjum kafla voru prófaðir sjö borkjarnar. </w:t>
      </w:r>
      <w:r>
        <w:rPr>
          <w:szCs w:val="22"/>
          <w:lang w:val="is-IS"/>
        </w:rPr>
        <w:t>Mælingarnar voru gerðar við Háskóla Íslands og í</w:t>
      </w:r>
      <w:r w:rsidRPr="00213EA2">
        <w:rPr>
          <w:szCs w:val="22"/>
          <w:lang w:val="is-IS"/>
        </w:rPr>
        <w:t xml:space="preserve"> skýrslu um prófanirnar [Sigurður Erlingsson 2001] kemur fram að skriðið var á bilinu 25</w:t>
      </w:r>
      <w:r>
        <w:rPr>
          <w:szCs w:val="22"/>
          <w:lang w:val="is-IS"/>
        </w:rPr>
        <w:t>.</w:t>
      </w:r>
      <w:r w:rsidRPr="00213EA2">
        <w:rPr>
          <w:szCs w:val="22"/>
          <w:lang w:val="is-IS"/>
        </w:rPr>
        <w:t>000 til 65</w:t>
      </w:r>
      <w:r>
        <w:rPr>
          <w:szCs w:val="22"/>
          <w:lang w:val="is-IS"/>
        </w:rPr>
        <w:t>.</w:t>
      </w:r>
      <w:r w:rsidRPr="00213EA2">
        <w:rPr>
          <w:szCs w:val="22"/>
          <w:lang w:val="is-IS"/>
        </w:rPr>
        <w:t>000 με og skriðhraðinn á bilinu 2,3 til 7,7 με/álagspúls. Niðurstöðurnar metur Sigurður svo að malbikið á Sæbraut (hefðbundið yfirlag) þoli allt að 1</w:t>
      </w:r>
      <w:r>
        <w:rPr>
          <w:szCs w:val="22"/>
          <w:lang w:val="is-IS"/>
        </w:rPr>
        <w:t>.</w:t>
      </w:r>
      <w:r w:rsidRPr="00213EA2">
        <w:rPr>
          <w:szCs w:val="22"/>
          <w:lang w:val="is-IS"/>
        </w:rPr>
        <w:t xml:space="preserve">800 þunga bíla á </w:t>
      </w:r>
      <w:r w:rsidRPr="00213EA2">
        <w:rPr>
          <w:szCs w:val="22"/>
          <w:lang w:val="is-IS"/>
        </w:rPr>
        <w:lastRenderedPageBreak/>
        <w:t xml:space="preserve">dag pr. akrein, malbikið á Kringlumýrarbraut og á Reykjanesbraut allt að 900 þunga bíla á dag pr. akrein en malbikið á Hafnarfjarðarvegi minna en 450 þunga bíla á dag pr. akrein. Sigurður </w:t>
      </w:r>
      <w:r>
        <w:rPr>
          <w:szCs w:val="22"/>
          <w:lang w:val="is-IS"/>
        </w:rPr>
        <w:t>t</w:t>
      </w:r>
      <w:r w:rsidRPr="00213EA2">
        <w:rPr>
          <w:szCs w:val="22"/>
          <w:lang w:val="is-IS"/>
        </w:rPr>
        <w:t xml:space="preserve">ekur fram í skýrslu sinni að niðurstöðurnar verði að skoða m.t.t. þess að prófanirnar séu ekki mjög margar. </w:t>
      </w:r>
    </w:p>
    <w:p w14:paraId="33D07D95" w14:textId="3C7B2B6F" w:rsidR="00523599" w:rsidRPr="00213EA2" w:rsidRDefault="00523599" w:rsidP="00523599">
      <w:pPr>
        <w:ind w:firstLine="342"/>
        <w:jc w:val="both"/>
        <w:rPr>
          <w:szCs w:val="22"/>
          <w:lang w:val="is-IS"/>
        </w:rPr>
      </w:pPr>
      <w:r w:rsidRPr="00213EA2">
        <w:rPr>
          <w:szCs w:val="22"/>
          <w:lang w:val="is-IS"/>
        </w:rPr>
        <w:t xml:space="preserve">Í áðurnefndri skýrslu Sigurðar Erlingssonar er stutt yfirlit yfir </w:t>
      </w:r>
      <w:r>
        <w:rPr>
          <w:szCs w:val="22"/>
          <w:lang w:val="is-IS"/>
        </w:rPr>
        <w:t xml:space="preserve">nokkrar aðrar </w:t>
      </w:r>
      <w:r w:rsidRPr="00213EA2">
        <w:rPr>
          <w:szCs w:val="22"/>
          <w:lang w:val="is-IS"/>
        </w:rPr>
        <w:t>mælingar á skriði sem hafa ver</w:t>
      </w:r>
      <w:r>
        <w:rPr>
          <w:szCs w:val="22"/>
          <w:lang w:val="is-IS"/>
        </w:rPr>
        <w:t>ið</w:t>
      </w:r>
      <w:r w:rsidRPr="00213EA2">
        <w:rPr>
          <w:szCs w:val="22"/>
          <w:lang w:val="is-IS"/>
        </w:rPr>
        <w:t xml:space="preserve"> gerðar</w:t>
      </w:r>
      <w:r>
        <w:rPr>
          <w:szCs w:val="22"/>
          <w:lang w:val="is-IS"/>
        </w:rPr>
        <w:t xml:space="preserve"> við Háskóla Íslands</w:t>
      </w:r>
      <w:r w:rsidRPr="00213EA2">
        <w:rPr>
          <w:szCs w:val="22"/>
          <w:lang w:val="is-IS"/>
        </w:rPr>
        <w:t xml:space="preserve">. Í töflu 1 er þeim skipt í tvennt, malbik með </w:t>
      </w:r>
      <w:r w:rsidR="00A7635A">
        <w:rPr>
          <w:szCs w:val="22"/>
          <w:lang w:val="is-IS"/>
        </w:rPr>
        <w:t>biki</w:t>
      </w:r>
      <w:r w:rsidR="00A7635A" w:rsidRPr="00213EA2">
        <w:rPr>
          <w:szCs w:val="22"/>
          <w:lang w:val="is-IS"/>
        </w:rPr>
        <w:t xml:space="preserve"> </w:t>
      </w:r>
      <w:r w:rsidRPr="00213EA2">
        <w:rPr>
          <w:szCs w:val="22"/>
          <w:lang w:val="is-IS"/>
        </w:rPr>
        <w:t xml:space="preserve">af gerðinni </w:t>
      </w:r>
      <w:r w:rsidR="00A7635A">
        <w:rPr>
          <w:szCs w:val="22"/>
          <w:lang w:val="is-IS"/>
        </w:rPr>
        <w:t>PG</w:t>
      </w:r>
      <w:r w:rsidRPr="00213EA2">
        <w:rPr>
          <w:szCs w:val="22"/>
          <w:lang w:val="is-IS"/>
        </w:rPr>
        <w:t xml:space="preserve">70/100) og </w:t>
      </w:r>
      <w:r w:rsidR="00A7635A">
        <w:rPr>
          <w:szCs w:val="22"/>
          <w:lang w:val="is-IS"/>
        </w:rPr>
        <w:t>PG</w:t>
      </w:r>
      <w:r w:rsidR="00A7635A" w:rsidRPr="00213EA2">
        <w:rPr>
          <w:szCs w:val="22"/>
          <w:lang w:val="is-IS"/>
        </w:rPr>
        <w:t xml:space="preserve"> </w:t>
      </w:r>
      <w:r w:rsidRPr="00213EA2">
        <w:rPr>
          <w:szCs w:val="22"/>
          <w:lang w:val="is-IS"/>
        </w:rPr>
        <w:t>160</w:t>
      </w:r>
      <w:r w:rsidR="00A7635A">
        <w:rPr>
          <w:szCs w:val="22"/>
          <w:lang w:val="is-IS"/>
        </w:rPr>
        <w:t>/</w:t>
      </w:r>
      <w:r w:rsidRPr="00213EA2">
        <w:rPr>
          <w:szCs w:val="22"/>
          <w:lang w:val="is-IS"/>
        </w:rPr>
        <w:t xml:space="preserve">220. Taflan sýnir að skriðið er heldur minna í sýnum á malbiki með bindiefni af gerðinni </w:t>
      </w:r>
      <w:r w:rsidR="00A7635A">
        <w:rPr>
          <w:szCs w:val="22"/>
          <w:lang w:val="is-IS"/>
        </w:rPr>
        <w:t>PG</w:t>
      </w:r>
      <w:r w:rsidRPr="00213EA2">
        <w:rPr>
          <w:szCs w:val="22"/>
          <w:lang w:val="is-IS"/>
        </w:rPr>
        <w:t xml:space="preserve">70/100 en munurinn er ekki marktækur. </w:t>
      </w:r>
    </w:p>
    <w:p w14:paraId="33D07D96" w14:textId="77777777" w:rsidR="00523599" w:rsidRPr="00707725" w:rsidRDefault="00523599" w:rsidP="00707725">
      <w:pPr>
        <w:jc w:val="both"/>
        <w:rPr>
          <w:szCs w:val="22"/>
          <w:lang w:val="is-IS"/>
        </w:rPr>
      </w:pPr>
    </w:p>
    <w:p w14:paraId="33D07D97" w14:textId="77777777" w:rsidR="00523599" w:rsidRPr="00707725" w:rsidRDefault="00523599" w:rsidP="00707725">
      <w:pPr>
        <w:tabs>
          <w:tab w:val="left" w:pos="855"/>
          <w:tab w:val="left" w:pos="7524"/>
        </w:tabs>
        <w:spacing w:after="60"/>
        <w:ind w:left="1026" w:right="885"/>
        <w:jc w:val="center"/>
        <w:rPr>
          <w:sz w:val="20"/>
          <w:lang w:val="is-IS"/>
        </w:rPr>
      </w:pPr>
      <w:r w:rsidRPr="00707725">
        <w:rPr>
          <w:b/>
          <w:sz w:val="20"/>
          <w:lang w:val="is-IS"/>
        </w:rPr>
        <w:t xml:space="preserve">Tafla 1. </w:t>
      </w:r>
      <w:r w:rsidRPr="00707725">
        <w:rPr>
          <w:sz w:val="20"/>
          <w:lang w:val="is-IS"/>
        </w:rPr>
        <w:t xml:space="preserve">Niðurstöður skriðprófana á nokkrum malbiksgerðum. </w:t>
      </w:r>
    </w:p>
    <w:tbl>
      <w:tblPr>
        <w:tblStyle w:val="TableGrid"/>
        <w:tblW w:w="0" w:type="auto"/>
        <w:jc w:val="center"/>
        <w:tblLayout w:type="fixed"/>
        <w:tblLook w:val="01E0" w:firstRow="1" w:lastRow="1" w:firstColumn="1" w:lastColumn="1" w:noHBand="0" w:noVBand="0"/>
      </w:tblPr>
      <w:tblGrid>
        <w:gridCol w:w="2345"/>
        <w:gridCol w:w="1337"/>
        <w:gridCol w:w="1337"/>
        <w:gridCol w:w="1337"/>
        <w:gridCol w:w="1338"/>
      </w:tblGrid>
      <w:tr w:rsidR="00523599" w:rsidRPr="007864EB" w14:paraId="33D07D9B" w14:textId="77777777" w:rsidTr="00C45043">
        <w:trPr>
          <w:trHeight w:val="278"/>
          <w:jc w:val="center"/>
        </w:trPr>
        <w:tc>
          <w:tcPr>
            <w:tcW w:w="2345" w:type="dxa"/>
            <w:shd w:val="clear" w:color="auto" w:fill="D9E2F3" w:themeFill="accent5" w:themeFillTint="33"/>
          </w:tcPr>
          <w:p w14:paraId="33D07D98" w14:textId="77777777" w:rsidR="00523599" w:rsidRPr="00707725" w:rsidRDefault="00523599" w:rsidP="00F423B4">
            <w:pPr>
              <w:tabs>
                <w:tab w:val="left" w:pos="855"/>
              </w:tabs>
              <w:jc w:val="center"/>
              <w:rPr>
                <w:b/>
                <w:szCs w:val="22"/>
                <w:lang w:val="is-IS"/>
              </w:rPr>
            </w:pPr>
            <w:r w:rsidRPr="00707725">
              <w:rPr>
                <w:b/>
                <w:szCs w:val="22"/>
                <w:lang w:val="is-IS"/>
              </w:rPr>
              <w:t>Bindiefnisgerð</w:t>
            </w:r>
          </w:p>
        </w:tc>
        <w:tc>
          <w:tcPr>
            <w:tcW w:w="2674" w:type="dxa"/>
            <w:gridSpan w:val="2"/>
            <w:shd w:val="clear" w:color="auto" w:fill="D9E2F3" w:themeFill="accent5" w:themeFillTint="33"/>
          </w:tcPr>
          <w:p w14:paraId="33D07D99" w14:textId="5C3E110C" w:rsidR="00523599" w:rsidRPr="00707725" w:rsidRDefault="00A7635A" w:rsidP="00F423B4">
            <w:pPr>
              <w:tabs>
                <w:tab w:val="left" w:pos="855"/>
              </w:tabs>
              <w:jc w:val="center"/>
              <w:rPr>
                <w:b/>
                <w:szCs w:val="22"/>
                <w:lang w:val="is-IS"/>
              </w:rPr>
            </w:pPr>
            <w:r>
              <w:rPr>
                <w:b/>
                <w:szCs w:val="22"/>
                <w:lang w:val="is-IS"/>
              </w:rPr>
              <w:t>PG 70/100</w:t>
            </w:r>
          </w:p>
        </w:tc>
        <w:tc>
          <w:tcPr>
            <w:tcW w:w="2675" w:type="dxa"/>
            <w:gridSpan w:val="2"/>
            <w:shd w:val="clear" w:color="auto" w:fill="D9E2F3" w:themeFill="accent5" w:themeFillTint="33"/>
          </w:tcPr>
          <w:p w14:paraId="33D07D9A" w14:textId="5420DD63" w:rsidR="00523599" w:rsidRPr="00707725" w:rsidRDefault="00A7635A" w:rsidP="00F423B4">
            <w:pPr>
              <w:tabs>
                <w:tab w:val="left" w:pos="855"/>
              </w:tabs>
              <w:jc w:val="center"/>
              <w:rPr>
                <w:b/>
                <w:szCs w:val="22"/>
                <w:lang w:val="is-IS"/>
              </w:rPr>
            </w:pPr>
            <w:r>
              <w:rPr>
                <w:b/>
                <w:szCs w:val="22"/>
                <w:lang w:val="is-IS"/>
              </w:rPr>
              <w:t xml:space="preserve">PG </w:t>
            </w:r>
            <w:r w:rsidR="006853DE">
              <w:rPr>
                <w:b/>
                <w:szCs w:val="22"/>
                <w:lang w:val="is-IS"/>
              </w:rPr>
              <w:t>160/220</w:t>
            </w:r>
          </w:p>
        </w:tc>
      </w:tr>
      <w:tr w:rsidR="00523599" w:rsidRPr="007864EB" w14:paraId="33D07DA6" w14:textId="77777777" w:rsidTr="00C45043">
        <w:trPr>
          <w:trHeight w:val="277"/>
          <w:jc w:val="center"/>
        </w:trPr>
        <w:tc>
          <w:tcPr>
            <w:tcW w:w="2345" w:type="dxa"/>
            <w:shd w:val="clear" w:color="auto" w:fill="D9E2F3" w:themeFill="accent5" w:themeFillTint="33"/>
          </w:tcPr>
          <w:p w14:paraId="33D07D9C" w14:textId="77777777" w:rsidR="00205F90" w:rsidRDefault="00205F90" w:rsidP="00F423B4">
            <w:pPr>
              <w:tabs>
                <w:tab w:val="left" w:pos="855"/>
              </w:tabs>
              <w:jc w:val="center"/>
              <w:rPr>
                <w:b/>
                <w:szCs w:val="22"/>
                <w:lang w:val="is-IS"/>
              </w:rPr>
            </w:pPr>
          </w:p>
          <w:p w14:paraId="33D07D9D" w14:textId="77777777" w:rsidR="00523599" w:rsidRPr="00707725" w:rsidRDefault="00523599" w:rsidP="00F423B4">
            <w:pPr>
              <w:tabs>
                <w:tab w:val="left" w:pos="855"/>
              </w:tabs>
              <w:jc w:val="center"/>
              <w:rPr>
                <w:b/>
                <w:szCs w:val="22"/>
                <w:lang w:val="is-IS"/>
              </w:rPr>
            </w:pPr>
            <w:r w:rsidRPr="00707725">
              <w:rPr>
                <w:b/>
                <w:szCs w:val="22"/>
                <w:lang w:val="is-IS"/>
              </w:rPr>
              <w:t>Malbiksgerð</w:t>
            </w:r>
          </w:p>
        </w:tc>
        <w:tc>
          <w:tcPr>
            <w:tcW w:w="1337" w:type="dxa"/>
            <w:shd w:val="clear" w:color="auto" w:fill="D9E2F3" w:themeFill="accent5" w:themeFillTint="33"/>
          </w:tcPr>
          <w:p w14:paraId="33D07D9E" w14:textId="77777777" w:rsidR="00523599" w:rsidRPr="00707725" w:rsidRDefault="00523599" w:rsidP="00F423B4">
            <w:pPr>
              <w:tabs>
                <w:tab w:val="left" w:pos="855"/>
              </w:tabs>
              <w:jc w:val="center"/>
              <w:rPr>
                <w:b/>
                <w:szCs w:val="22"/>
                <w:lang w:val="is-IS"/>
              </w:rPr>
            </w:pPr>
            <w:r w:rsidRPr="00707725">
              <w:rPr>
                <w:b/>
                <w:szCs w:val="22"/>
                <w:lang w:val="is-IS"/>
              </w:rPr>
              <w:t>Skrið</w:t>
            </w:r>
          </w:p>
          <w:p w14:paraId="33D07D9F" w14:textId="77777777" w:rsidR="00523599" w:rsidRPr="00707725" w:rsidRDefault="00523599" w:rsidP="00F423B4">
            <w:pPr>
              <w:tabs>
                <w:tab w:val="left" w:pos="855"/>
              </w:tabs>
              <w:jc w:val="center"/>
              <w:rPr>
                <w:szCs w:val="22"/>
                <w:lang w:val="is-IS"/>
              </w:rPr>
            </w:pPr>
            <w:r w:rsidRPr="00707725">
              <w:rPr>
                <w:b/>
                <w:szCs w:val="22"/>
                <w:lang w:val="is-IS"/>
              </w:rPr>
              <w:t>[με]</w:t>
            </w:r>
          </w:p>
        </w:tc>
        <w:tc>
          <w:tcPr>
            <w:tcW w:w="1337" w:type="dxa"/>
            <w:shd w:val="clear" w:color="auto" w:fill="D9E2F3" w:themeFill="accent5" w:themeFillTint="33"/>
          </w:tcPr>
          <w:p w14:paraId="33D07DA0" w14:textId="77777777" w:rsidR="00523599" w:rsidRPr="00707725" w:rsidRDefault="00523599" w:rsidP="00F423B4">
            <w:pPr>
              <w:tabs>
                <w:tab w:val="left" w:pos="855"/>
              </w:tabs>
              <w:jc w:val="center"/>
              <w:rPr>
                <w:b/>
                <w:szCs w:val="22"/>
                <w:lang w:val="is-IS"/>
              </w:rPr>
            </w:pPr>
            <w:r w:rsidRPr="00707725">
              <w:rPr>
                <w:b/>
                <w:szCs w:val="22"/>
                <w:lang w:val="is-IS"/>
              </w:rPr>
              <w:t>Skriðhraði</w:t>
            </w:r>
          </w:p>
          <w:p w14:paraId="33D07DA1" w14:textId="77777777" w:rsidR="00523599" w:rsidRPr="00707725" w:rsidRDefault="00523599" w:rsidP="00F423B4">
            <w:pPr>
              <w:tabs>
                <w:tab w:val="left" w:pos="855"/>
              </w:tabs>
              <w:jc w:val="center"/>
              <w:rPr>
                <w:b/>
                <w:szCs w:val="22"/>
                <w:lang w:val="is-IS"/>
              </w:rPr>
            </w:pPr>
            <w:r w:rsidRPr="00707725">
              <w:rPr>
                <w:b/>
                <w:szCs w:val="22"/>
                <w:lang w:val="is-IS"/>
              </w:rPr>
              <w:t>[με/púls]</w:t>
            </w:r>
          </w:p>
        </w:tc>
        <w:tc>
          <w:tcPr>
            <w:tcW w:w="1337" w:type="dxa"/>
            <w:shd w:val="clear" w:color="auto" w:fill="D9E2F3" w:themeFill="accent5" w:themeFillTint="33"/>
          </w:tcPr>
          <w:p w14:paraId="33D07DA2" w14:textId="77777777" w:rsidR="00523599" w:rsidRPr="00707725" w:rsidRDefault="00523599" w:rsidP="00F423B4">
            <w:pPr>
              <w:tabs>
                <w:tab w:val="left" w:pos="855"/>
              </w:tabs>
              <w:jc w:val="center"/>
              <w:rPr>
                <w:b/>
                <w:szCs w:val="22"/>
                <w:lang w:val="is-IS"/>
              </w:rPr>
            </w:pPr>
            <w:r w:rsidRPr="00707725">
              <w:rPr>
                <w:b/>
                <w:szCs w:val="22"/>
                <w:lang w:val="is-IS"/>
              </w:rPr>
              <w:t>Skrið</w:t>
            </w:r>
          </w:p>
          <w:p w14:paraId="33D07DA3" w14:textId="77777777" w:rsidR="00523599" w:rsidRPr="00707725" w:rsidRDefault="00523599" w:rsidP="00F423B4">
            <w:pPr>
              <w:tabs>
                <w:tab w:val="left" w:pos="855"/>
              </w:tabs>
              <w:jc w:val="center"/>
              <w:rPr>
                <w:b/>
                <w:szCs w:val="22"/>
                <w:lang w:val="is-IS"/>
              </w:rPr>
            </w:pPr>
            <w:r w:rsidRPr="00707725">
              <w:rPr>
                <w:b/>
                <w:szCs w:val="22"/>
                <w:lang w:val="is-IS"/>
              </w:rPr>
              <w:t>[με]</w:t>
            </w:r>
          </w:p>
        </w:tc>
        <w:tc>
          <w:tcPr>
            <w:tcW w:w="1338" w:type="dxa"/>
            <w:shd w:val="clear" w:color="auto" w:fill="D9E2F3" w:themeFill="accent5" w:themeFillTint="33"/>
          </w:tcPr>
          <w:p w14:paraId="33D07DA4" w14:textId="77777777" w:rsidR="00523599" w:rsidRPr="00707725" w:rsidRDefault="00523599" w:rsidP="00F423B4">
            <w:pPr>
              <w:tabs>
                <w:tab w:val="left" w:pos="855"/>
              </w:tabs>
              <w:jc w:val="center"/>
              <w:rPr>
                <w:b/>
                <w:szCs w:val="22"/>
                <w:lang w:val="is-IS"/>
              </w:rPr>
            </w:pPr>
            <w:r w:rsidRPr="00707725">
              <w:rPr>
                <w:b/>
                <w:szCs w:val="22"/>
                <w:lang w:val="is-IS"/>
              </w:rPr>
              <w:t>Skriðhraði</w:t>
            </w:r>
          </w:p>
          <w:p w14:paraId="33D07DA5" w14:textId="77777777" w:rsidR="00523599" w:rsidRPr="00707725" w:rsidRDefault="00523599" w:rsidP="00F423B4">
            <w:pPr>
              <w:tabs>
                <w:tab w:val="left" w:pos="855"/>
              </w:tabs>
              <w:jc w:val="center"/>
              <w:rPr>
                <w:b/>
                <w:szCs w:val="22"/>
                <w:lang w:val="is-IS"/>
              </w:rPr>
            </w:pPr>
            <w:r w:rsidRPr="00707725">
              <w:rPr>
                <w:b/>
                <w:szCs w:val="22"/>
                <w:lang w:val="is-IS"/>
              </w:rPr>
              <w:t>[με/púls]</w:t>
            </w:r>
          </w:p>
        </w:tc>
      </w:tr>
      <w:tr w:rsidR="00523599" w14:paraId="33D07DAC" w14:textId="77777777" w:rsidTr="00C45043">
        <w:trPr>
          <w:jc w:val="center"/>
        </w:trPr>
        <w:tc>
          <w:tcPr>
            <w:tcW w:w="2345" w:type="dxa"/>
            <w:shd w:val="clear" w:color="auto" w:fill="D9E2F3" w:themeFill="accent5" w:themeFillTint="33"/>
          </w:tcPr>
          <w:p w14:paraId="33D07DA7" w14:textId="0BDA0B9D" w:rsidR="00523599" w:rsidRPr="00707725" w:rsidRDefault="00523599" w:rsidP="00F423B4">
            <w:pPr>
              <w:tabs>
                <w:tab w:val="left" w:pos="855"/>
              </w:tabs>
              <w:rPr>
                <w:szCs w:val="22"/>
                <w:lang w:val="is-IS"/>
              </w:rPr>
            </w:pPr>
            <w:r w:rsidRPr="00707725">
              <w:rPr>
                <w:szCs w:val="22"/>
                <w:lang w:val="is-IS"/>
              </w:rPr>
              <w:t>A1/</w:t>
            </w:r>
            <w:r w:rsidR="006853DE">
              <w:rPr>
                <w:b/>
                <w:szCs w:val="22"/>
                <w:lang w:val="is-IS"/>
              </w:rPr>
              <w:t xml:space="preserve"> PG 70/100</w:t>
            </w:r>
          </w:p>
        </w:tc>
        <w:tc>
          <w:tcPr>
            <w:tcW w:w="1337" w:type="dxa"/>
            <w:shd w:val="clear" w:color="auto" w:fill="FFF2CC" w:themeFill="accent4" w:themeFillTint="33"/>
          </w:tcPr>
          <w:p w14:paraId="33D07DA8" w14:textId="77777777" w:rsidR="00523599" w:rsidRPr="00707725" w:rsidRDefault="00523599" w:rsidP="00F423B4">
            <w:pPr>
              <w:tabs>
                <w:tab w:val="left" w:pos="855"/>
              </w:tabs>
              <w:jc w:val="center"/>
              <w:rPr>
                <w:szCs w:val="22"/>
                <w:lang w:val="is-IS"/>
              </w:rPr>
            </w:pPr>
            <w:r w:rsidRPr="00707725">
              <w:rPr>
                <w:szCs w:val="22"/>
                <w:lang w:val="is-IS"/>
              </w:rPr>
              <w:t>52000</w:t>
            </w:r>
          </w:p>
        </w:tc>
        <w:tc>
          <w:tcPr>
            <w:tcW w:w="1337" w:type="dxa"/>
            <w:shd w:val="clear" w:color="auto" w:fill="FFF2CC" w:themeFill="accent4" w:themeFillTint="33"/>
          </w:tcPr>
          <w:p w14:paraId="33D07DA9" w14:textId="77777777" w:rsidR="00523599" w:rsidRPr="00707725" w:rsidRDefault="00523599" w:rsidP="00F423B4">
            <w:pPr>
              <w:tabs>
                <w:tab w:val="left" w:pos="855"/>
              </w:tabs>
              <w:jc w:val="center"/>
              <w:rPr>
                <w:szCs w:val="22"/>
                <w:lang w:val="is-IS"/>
              </w:rPr>
            </w:pPr>
            <w:r w:rsidRPr="00707725">
              <w:rPr>
                <w:szCs w:val="22"/>
                <w:lang w:val="is-IS"/>
              </w:rPr>
              <w:t>8,31</w:t>
            </w:r>
          </w:p>
        </w:tc>
        <w:tc>
          <w:tcPr>
            <w:tcW w:w="1337" w:type="dxa"/>
            <w:shd w:val="clear" w:color="auto" w:fill="FFF2CC" w:themeFill="accent4" w:themeFillTint="33"/>
          </w:tcPr>
          <w:p w14:paraId="33D07DAA" w14:textId="77777777" w:rsidR="00523599" w:rsidRPr="00707725" w:rsidRDefault="00523599" w:rsidP="00F423B4">
            <w:pPr>
              <w:tabs>
                <w:tab w:val="left" w:pos="855"/>
              </w:tabs>
              <w:jc w:val="center"/>
              <w:rPr>
                <w:szCs w:val="22"/>
                <w:lang w:val="is-IS"/>
              </w:rPr>
            </w:pPr>
          </w:p>
        </w:tc>
        <w:tc>
          <w:tcPr>
            <w:tcW w:w="1338" w:type="dxa"/>
            <w:shd w:val="clear" w:color="auto" w:fill="FFF2CC" w:themeFill="accent4" w:themeFillTint="33"/>
          </w:tcPr>
          <w:p w14:paraId="33D07DAB" w14:textId="77777777" w:rsidR="00523599" w:rsidRPr="00707725" w:rsidRDefault="00523599" w:rsidP="00F423B4">
            <w:pPr>
              <w:tabs>
                <w:tab w:val="left" w:pos="855"/>
              </w:tabs>
              <w:jc w:val="center"/>
              <w:rPr>
                <w:szCs w:val="22"/>
                <w:lang w:val="is-IS"/>
              </w:rPr>
            </w:pPr>
          </w:p>
        </w:tc>
      </w:tr>
      <w:tr w:rsidR="00523599" w14:paraId="33D07DB2" w14:textId="77777777" w:rsidTr="00C45043">
        <w:trPr>
          <w:jc w:val="center"/>
        </w:trPr>
        <w:tc>
          <w:tcPr>
            <w:tcW w:w="2345" w:type="dxa"/>
            <w:shd w:val="clear" w:color="auto" w:fill="D9E2F3" w:themeFill="accent5" w:themeFillTint="33"/>
          </w:tcPr>
          <w:p w14:paraId="33D07DAD" w14:textId="46FC480C" w:rsidR="00523599" w:rsidRPr="00707725" w:rsidRDefault="00523599" w:rsidP="00F423B4">
            <w:pPr>
              <w:tabs>
                <w:tab w:val="left" w:pos="855"/>
              </w:tabs>
              <w:rPr>
                <w:szCs w:val="22"/>
                <w:lang w:val="is-IS"/>
              </w:rPr>
            </w:pPr>
            <w:r w:rsidRPr="00707725">
              <w:rPr>
                <w:szCs w:val="22"/>
                <w:lang w:val="is-IS"/>
              </w:rPr>
              <w:t>A2/</w:t>
            </w:r>
            <w:r w:rsidR="006853DE">
              <w:rPr>
                <w:b/>
                <w:szCs w:val="22"/>
                <w:lang w:val="is-IS"/>
              </w:rPr>
              <w:t xml:space="preserve"> PG 70/100</w:t>
            </w:r>
          </w:p>
        </w:tc>
        <w:tc>
          <w:tcPr>
            <w:tcW w:w="1337" w:type="dxa"/>
            <w:shd w:val="clear" w:color="auto" w:fill="FFF2CC" w:themeFill="accent4" w:themeFillTint="33"/>
          </w:tcPr>
          <w:p w14:paraId="33D07DAE" w14:textId="77777777" w:rsidR="00523599" w:rsidRPr="00707725" w:rsidRDefault="00523599" w:rsidP="00F423B4">
            <w:pPr>
              <w:tabs>
                <w:tab w:val="left" w:pos="855"/>
              </w:tabs>
              <w:jc w:val="center"/>
              <w:rPr>
                <w:szCs w:val="22"/>
                <w:lang w:val="is-IS"/>
              </w:rPr>
            </w:pPr>
            <w:r w:rsidRPr="00707725">
              <w:rPr>
                <w:szCs w:val="22"/>
                <w:lang w:val="is-IS"/>
              </w:rPr>
              <w:t>25400</w:t>
            </w:r>
          </w:p>
        </w:tc>
        <w:tc>
          <w:tcPr>
            <w:tcW w:w="1337" w:type="dxa"/>
            <w:shd w:val="clear" w:color="auto" w:fill="FFF2CC" w:themeFill="accent4" w:themeFillTint="33"/>
          </w:tcPr>
          <w:p w14:paraId="33D07DAF" w14:textId="77777777" w:rsidR="00523599" w:rsidRPr="00707725" w:rsidRDefault="00523599" w:rsidP="00F423B4">
            <w:pPr>
              <w:tabs>
                <w:tab w:val="left" w:pos="855"/>
              </w:tabs>
              <w:jc w:val="center"/>
              <w:rPr>
                <w:szCs w:val="22"/>
                <w:lang w:val="is-IS"/>
              </w:rPr>
            </w:pPr>
            <w:r w:rsidRPr="00707725">
              <w:rPr>
                <w:szCs w:val="22"/>
                <w:lang w:val="is-IS"/>
              </w:rPr>
              <w:t>2,66</w:t>
            </w:r>
          </w:p>
        </w:tc>
        <w:tc>
          <w:tcPr>
            <w:tcW w:w="1337" w:type="dxa"/>
            <w:shd w:val="clear" w:color="auto" w:fill="FFF2CC" w:themeFill="accent4" w:themeFillTint="33"/>
          </w:tcPr>
          <w:p w14:paraId="33D07DB0" w14:textId="77777777" w:rsidR="00523599" w:rsidRPr="00707725" w:rsidRDefault="00523599" w:rsidP="00F423B4">
            <w:pPr>
              <w:tabs>
                <w:tab w:val="left" w:pos="855"/>
              </w:tabs>
              <w:jc w:val="center"/>
              <w:rPr>
                <w:szCs w:val="22"/>
                <w:lang w:val="is-IS"/>
              </w:rPr>
            </w:pPr>
          </w:p>
        </w:tc>
        <w:tc>
          <w:tcPr>
            <w:tcW w:w="1338" w:type="dxa"/>
            <w:shd w:val="clear" w:color="auto" w:fill="FFF2CC" w:themeFill="accent4" w:themeFillTint="33"/>
          </w:tcPr>
          <w:p w14:paraId="33D07DB1" w14:textId="77777777" w:rsidR="00523599" w:rsidRPr="00707725" w:rsidRDefault="00523599" w:rsidP="00F423B4">
            <w:pPr>
              <w:tabs>
                <w:tab w:val="left" w:pos="855"/>
              </w:tabs>
              <w:jc w:val="center"/>
              <w:rPr>
                <w:szCs w:val="22"/>
                <w:lang w:val="is-IS"/>
              </w:rPr>
            </w:pPr>
          </w:p>
        </w:tc>
      </w:tr>
      <w:tr w:rsidR="00523599" w14:paraId="33D07DB8" w14:textId="77777777" w:rsidTr="00C45043">
        <w:trPr>
          <w:jc w:val="center"/>
        </w:trPr>
        <w:tc>
          <w:tcPr>
            <w:tcW w:w="2345" w:type="dxa"/>
            <w:shd w:val="clear" w:color="auto" w:fill="D9E2F3" w:themeFill="accent5" w:themeFillTint="33"/>
          </w:tcPr>
          <w:p w14:paraId="33D07DB3" w14:textId="60E40BB2" w:rsidR="00523599" w:rsidRPr="00707725" w:rsidRDefault="00523599" w:rsidP="00F423B4">
            <w:pPr>
              <w:tabs>
                <w:tab w:val="left" w:pos="855"/>
              </w:tabs>
              <w:rPr>
                <w:szCs w:val="22"/>
                <w:lang w:val="is-IS"/>
              </w:rPr>
            </w:pPr>
            <w:r w:rsidRPr="00707725">
              <w:rPr>
                <w:szCs w:val="22"/>
                <w:lang w:val="is-IS"/>
              </w:rPr>
              <w:t>A2/</w:t>
            </w:r>
            <w:r w:rsidR="006853DE">
              <w:rPr>
                <w:b/>
                <w:szCs w:val="22"/>
                <w:lang w:val="is-IS"/>
              </w:rPr>
              <w:t xml:space="preserve"> PG</w:t>
            </w:r>
            <w:r w:rsidR="009E208C">
              <w:rPr>
                <w:b/>
                <w:szCs w:val="22"/>
                <w:lang w:val="is-IS"/>
              </w:rPr>
              <w:t xml:space="preserve"> </w:t>
            </w:r>
            <w:r w:rsidR="006853DE">
              <w:rPr>
                <w:b/>
                <w:szCs w:val="22"/>
                <w:lang w:val="is-IS"/>
              </w:rPr>
              <w:t>160/220</w:t>
            </w:r>
          </w:p>
        </w:tc>
        <w:tc>
          <w:tcPr>
            <w:tcW w:w="1337" w:type="dxa"/>
            <w:shd w:val="clear" w:color="auto" w:fill="FFF2CC" w:themeFill="accent4" w:themeFillTint="33"/>
          </w:tcPr>
          <w:p w14:paraId="33D07DB4" w14:textId="77777777" w:rsidR="00523599" w:rsidRPr="00707725" w:rsidRDefault="00523599" w:rsidP="00F423B4">
            <w:pPr>
              <w:tabs>
                <w:tab w:val="left" w:pos="855"/>
              </w:tabs>
              <w:jc w:val="center"/>
              <w:rPr>
                <w:szCs w:val="22"/>
                <w:lang w:val="is-IS"/>
              </w:rPr>
            </w:pPr>
          </w:p>
        </w:tc>
        <w:tc>
          <w:tcPr>
            <w:tcW w:w="1337" w:type="dxa"/>
            <w:shd w:val="clear" w:color="auto" w:fill="FFF2CC" w:themeFill="accent4" w:themeFillTint="33"/>
          </w:tcPr>
          <w:p w14:paraId="33D07DB5" w14:textId="77777777" w:rsidR="00523599" w:rsidRPr="00707725" w:rsidRDefault="00523599" w:rsidP="00F423B4">
            <w:pPr>
              <w:tabs>
                <w:tab w:val="left" w:pos="855"/>
              </w:tabs>
              <w:jc w:val="center"/>
              <w:rPr>
                <w:szCs w:val="22"/>
                <w:lang w:val="is-IS"/>
              </w:rPr>
            </w:pPr>
          </w:p>
        </w:tc>
        <w:tc>
          <w:tcPr>
            <w:tcW w:w="1337" w:type="dxa"/>
            <w:shd w:val="clear" w:color="auto" w:fill="FFF2CC" w:themeFill="accent4" w:themeFillTint="33"/>
          </w:tcPr>
          <w:p w14:paraId="33D07DB6" w14:textId="77777777" w:rsidR="00523599" w:rsidRPr="00707725" w:rsidRDefault="00523599" w:rsidP="00F423B4">
            <w:pPr>
              <w:tabs>
                <w:tab w:val="left" w:pos="855"/>
              </w:tabs>
              <w:jc w:val="center"/>
              <w:rPr>
                <w:szCs w:val="22"/>
                <w:lang w:val="is-IS"/>
              </w:rPr>
            </w:pPr>
            <w:r w:rsidRPr="00707725">
              <w:rPr>
                <w:szCs w:val="22"/>
                <w:lang w:val="is-IS"/>
              </w:rPr>
              <w:t>41600</w:t>
            </w:r>
          </w:p>
        </w:tc>
        <w:tc>
          <w:tcPr>
            <w:tcW w:w="1338" w:type="dxa"/>
            <w:shd w:val="clear" w:color="auto" w:fill="FFF2CC" w:themeFill="accent4" w:themeFillTint="33"/>
          </w:tcPr>
          <w:p w14:paraId="33D07DB7" w14:textId="77777777" w:rsidR="00523599" w:rsidRPr="00707725" w:rsidRDefault="00523599" w:rsidP="00F423B4">
            <w:pPr>
              <w:tabs>
                <w:tab w:val="left" w:pos="855"/>
              </w:tabs>
              <w:jc w:val="center"/>
              <w:rPr>
                <w:szCs w:val="22"/>
                <w:lang w:val="is-IS"/>
              </w:rPr>
            </w:pPr>
            <w:r w:rsidRPr="00707725">
              <w:rPr>
                <w:szCs w:val="22"/>
                <w:lang w:val="is-IS"/>
              </w:rPr>
              <w:t>3,13</w:t>
            </w:r>
          </w:p>
        </w:tc>
      </w:tr>
      <w:tr w:rsidR="00523599" w14:paraId="33D07DBE" w14:textId="77777777" w:rsidTr="00C45043">
        <w:trPr>
          <w:jc w:val="center"/>
        </w:trPr>
        <w:tc>
          <w:tcPr>
            <w:tcW w:w="2345" w:type="dxa"/>
            <w:shd w:val="clear" w:color="auto" w:fill="D9E2F3" w:themeFill="accent5" w:themeFillTint="33"/>
          </w:tcPr>
          <w:p w14:paraId="33D07DB9" w14:textId="7980F2DB" w:rsidR="00523599" w:rsidRPr="00707725" w:rsidRDefault="00523599" w:rsidP="00F423B4">
            <w:pPr>
              <w:tabs>
                <w:tab w:val="left" w:pos="855"/>
              </w:tabs>
              <w:rPr>
                <w:szCs w:val="22"/>
                <w:lang w:val="is-IS"/>
              </w:rPr>
            </w:pPr>
            <w:r w:rsidRPr="00707725">
              <w:rPr>
                <w:szCs w:val="22"/>
                <w:lang w:val="is-IS"/>
              </w:rPr>
              <w:t>B1/</w:t>
            </w:r>
            <w:r w:rsidR="004B4D46">
              <w:rPr>
                <w:b/>
                <w:szCs w:val="22"/>
                <w:lang w:val="is-IS"/>
              </w:rPr>
              <w:t xml:space="preserve"> PG 160/220</w:t>
            </w:r>
          </w:p>
        </w:tc>
        <w:tc>
          <w:tcPr>
            <w:tcW w:w="1337" w:type="dxa"/>
            <w:shd w:val="clear" w:color="auto" w:fill="FFF2CC" w:themeFill="accent4" w:themeFillTint="33"/>
          </w:tcPr>
          <w:p w14:paraId="33D07DBA" w14:textId="77777777" w:rsidR="00523599" w:rsidRPr="00707725" w:rsidRDefault="00523599" w:rsidP="00F423B4">
            <w:pPr>
              <w:tabs>
                <w:tab w:val="left" w:pos="855"/>
              </w:tabs>
              <w:jc w:val="center"/>
              <w:rPr>
                <w:szCs w:val="22"/>
                <w:lang w:val="is-IS"/>
              </w:rPr>
            </w:pPr>
            <w:r w:rsidRPr="00707725">
              <w:rPr>
                <w:szCs w:val="22"/>
                <w:lang w:val="is-IS"/>
              </w:rPr>
              <w:t>33900</w:t>
            </w:r>
          </w:p>
        </w:tc>
        <w:tc>
          <w:tcPr>
            <w:tcW w:w="1337" w:type="dxa"/>
            <w:shd w:val="clear" w:color="auto" w:fill="FFF2CC" w:themeFill="accent4" w:themeFillTint="33"/>
          </w:tcPr>
          <w:p w14:paraId="33D07DBB" w14:textId="77777777" w:rsidR="00523599" w:rsidRPr="00707725" w:rsidRDefault="00523599" w:rsidP="00F423B4">
            <w:pPr>
              <w:tabs>
                <w:tab w:val="left" w:pos="855"/>
              </w:tabs>
              <w:jc w:val="center"/>
              <w:rPr>
                <w:szCs w:val="22"/>
                <w:lang w:val="is-IS"/>
              </w:rPr>
            </w:pPr>
            <w:r w:rsidRPr="00707725">
              <w:rPr>
                <w:szCs w:val="22"/>
                <w:lang w:val="is-IS"/>
              </w:rPr>
              <w:t>2,90</w:t>
            </w:r>
          </w:p>
        </w:tc>
        <w:tc>
          <w:tcPr>
            <w:tcW w:w="1337" w:type="dxa"/>
            <w:shd w:val="clear" w:color="auto" w:fill="FFF2CC" w:themeFill="accent4" w:themeFillTint="33"/>
          </w:tcPr>
          <w:p w14:paraId="33D07DBC" w14:textId="77777777" w:rsidR="00523599" w:rsidRPr="00707725" w:rsidRDefault="00523599" w:rsidP="00F423B4">
            <w:pPr>
              <w:tabs>
                <w:tab w:val="left" w:pos="855"/>
              </w:tabs>
              <w:jc w:val="center"/>
              <w:rPr>
                <w:szCs w:val="22"/>
                <w:lang w:val="is-IS"/>
              </w:rPr>
            </w:pPr>
          </w:p>
        </w:tc>
        <w:tc>
          <w:tcPr>
            <w:tcW w:w="1338" w:type="dxa"/>
            <w:shd w:val="clear" w:color="auto" w:fill="FFF2CC" w:themeFill="accent4" w:themeFillTint="33"/>
          </w:tcPr>
          <w:p w14:paraId="33D07DBD" w14:textId="77777777" w:rsidR="00523599" w:rsidRPr="00707725" w:rsidRDefault="00523599" w:rsidP="00F423B4">
            <w:pPr>
              <w:tabs>
                <w:tab w:val="left" w:pos="855"/>
              </w:tabs>
              <w:jc w:val="center"/>
              <w:rPr>
                <w:szCs w:val="22"/>
                <w:lang w:val="is-IS"/>
              </w:rPr>
            </w:pPr>
          </w:p>
        </w:tc>
      </w:tr>
      <w:tr w:rsidR="00523599" w14:paraId="33D07DC4" w14:textId="77777777" w:rsidTr="00C45043">
        <w:trPr>
          <w:jc w:val="center"/>
        </w:trPr>
        <w:tc>
          <w:tcPr>
            <w:tcW w:w="2345" w:type="dxa"/>
            <w:shd w:val="clear" w:color="auto" w:fill="D9E2F3" w:themeFill="accent5" w:themeFillTint="33"/>
          </w:tcPr>
          <w:p w14:paraId="33D07DBF" w14:textId="516CAA84" w:rsidR="00523599" w:rsidRPr="00707725" w:rsidRDefault="00523599" w:rsidP="00F423B4">
            <w:pPr>
              <w:tabs>
                <w:tab w:val="left" w:pos="855"/>
              </w:tabs>
              <w:rPr>
                <w:szCs w:val="22"/>
                <w:lang w:val="is-IS"/>
              </w:rPr>
            </w:pPr>
            <w:r w:rsidRPr="00707725">
              <w:rPr>
                <w:szCs w:val="22"/>
                <w:lang w:val="is-IS"/>
              </w:rPr>
              <w:t>B4/</w:t>
            </w:r>
            <w:r w:rsidR="006853DE">
              <w:rPr>
                <w:b/>
                <w:szCs w:val="22"/>
                <w:lang w:val="is-IS"/>
              </w:rPr>
              <w:t xml:space="preserve"> PG 160/220</w:t>
            </w:r>
          </w:p>
        </w:tc>
        <w:tc>
          <w:tcPr>
            <w:tcW w:w="1337" w:type="dxa"/>
            <w:shd w:val="clear" w:color="auto" w:fill="FFF2CC" w:themeFill="accent4" w:themeFillTint="33"/>
          </w:tcPr>
          <w:p w14:paraId="33D07DC0" w14:textId="77777777" w:rsidR="00523599" w:rsidRPr="00707725" w:rsidRDefault="00523599" w:rsidP="00F423B4">
            <w:pPr>
              <w:tabs>
                <w:tab w:val="left" w:pos="855"/>
              </w:tabs>
              <w:jc w:val="center"/>
              <w:rPr>
                <w:szCs w:val="22"/>
                <w:lang w:val="is-IS"/>
              </w:rPr>
            </w:pPr>
          </w:p>
        </w:tc>
        <w:tc>
          <w:tcPr>
            <w:tcW w:w="1337" w:type="dxa"/>
            <w:shd w:val="clear" w:color="auto" w:fill="FFF2CC" w:themeFill="accent4" w:themeFillTint="33"/>
          </w:tcPr>
          <w:p w14:paraId="33D07DC1" w14:textId="77777777" w:rsidR="00523599" w:rsidRPr="00707725" w:rsidRDefault="00523599" w:rsidP="00F423B4">
            <w:pPr>
              <w:tabs>
                <w:tab w:val="left" w:pos="855"/>
              </w:tabs>
              <w:jc w:val="center"/>
              <w:rPr>
                <w:szCs w:val="22"/>
                <w:lang w:val="is-IS"/>
              </w:rPr>
            </w:pPr>
          </w:p>
        </w:tc>
        <w:tc>
          <w:tcPr>
            <w:tcW w:w="1337" w:type="dxa"/>
            <w:shd w:val="clear" w:color="auto" w:fill="FFF2CC" w:themeFill="accent4" w:themeFillTint="33"/>
          </w:tcPr>
          <w:p w14:paraId="33D07DC2" w14:textId="77777777" w:rsidR="00523599" w:rsidRPr="00707725" w:rsidRDefault="00523599" w:rsidP="00F423B4">
            <w:pPr>
              <w:tabs>
                <w:tab w:val="left" w:pos="855"/>
              </w:tabs>
              <w:jc w:val="center"/>
              <w:rPr>
                <w:szCs w:val="22"/>
                <w:lang w:val="is-IS"/>
              </w:rPr>
            </w:pPr>
            <w:r w:rsidRPr="00707725">
              <w:rPr>
                <w:szCs w:val="22"/>
                <w:lang w:val="is-IS"/>
              </w:rPr>
              <w:t>48400</w:t>
            </w:r>
          </w:p>
        </w:tc>
        <w:tc>
          <w:tcPr>
            <w:tcW w:w="1338" w:type="dxa"/>
            <w:shd w:val="clear" w:color="auto" w:fill="FFF2CC" w:themeFill="accent4" w:themeFillTint="33"/>
          </w:tcPr>
          <w:p w14:paraId="33D07DC3" w14:textId="77777777" w:rsidR="00523599" w:rsidRPr="00707725" w:rsidRDefault="00523599" w:rsidP="00F423B4">
            <w:pPr>
              <w:tabs>
                <w:tab w:val="left" w:pos="855"/>
              </w:tabs>
              <w:jc w:val="center"/>
              <w:rPr>
                <w:szCs w:val="22"/>
                <w:lang w:val="is-IS"/>
              </w:rPr>
            </w:pPr>
            <w:r w:rsidRPr="00707725">
              <w:rPr>
                <w:szCs w:val="22"/>
                <w:lang w:val="is-IS"/>
              </w:rPr>
              <w:t>6,19</w:t>
            </w:r>
          </w:p>
        </w:tc>
      </w:tr>
      <w:tr w:rsidR="00523599" w14:paraId="33D07DCA" w14:textId="77777777" w:rsidTr="00C45043">
        <w:trPr>
          <w:jc w:val="center"/>
        </w:trPr>
        <w:tc>
          <w:tcPr>
            <w:tcW w:w="2345" w:type="dxa"/>
            <w:shd w:val="clear" w:color="auto" w:fill="D9E2F3" w:themeFill="accent5" w:themeFillTint="33"/>
          </w:tcPr>
          <w:p w14:paraId="33D07DC5" w14:textId="50D67A7F" w:rsidR="00523599" w:rsidRPr="00707725" w:rsidRDefault="00523599" w:rsidP="00F423B4">
            <w:pPr>
              <w:tabs>
                <w:tab w:val="left" w:pos="855"/>
              </w:tabs>
              <w:rPr>
                <w:szCs w:val="22"/>
                <w:lang w:val="is-IS"/>
              </w:rPr>
            </w:pPr>
            <w:r w:rsidRPr="00707725">
              <w:rPr>
                <w:szCs w:val="22"/>
                <w:lang w:val="is-IS"/>
              </w:rPr>
              <w:t>B5/</w:t>
            </w:r>
            <w:r w:rsidR="006853DE">
              <w:rPr>
                <w:b/>
                <w:szCs w:val="22"/>
                <w:lang w:val="is-IS"/>
              </w:rPr>
              <w:t xml:space="preserve"> PG 160/220</w:t>
            </w:r>
          </w:p>
        </w:tc>
        <w:tc>
          <w:tcPr>
            <w:tcW w:w="1337" w:type="dxa"/>
            <w:shd w:val="clear" w:color="auto" w:fill="FFF2CC" w:themeFill="accent4" w:themeFillTint="33"/>
          </w:tcPr>
          <w:p w14:paraId="33D07DC6" w14:textId="77777777" w:rsidR="00523599" w:rsidRPr="00707725" w:rsidRDefault="00523599" w:rsidP="00F423B4">
            <w:pPr>
              <w:tabs>
                <w:tab w:val="left" w:pos="855"/>
              </w:tabs>
              <w:jc w:val="center"/>
              <w:rPr>
                <w:szCs w:val="22"/>
                <w:lang w:val="is-IS"/>
              </w:rPr>
            </w:pPr>
          </w:p>
        </w:tc>
        <w:tc>
          <w:tcPr>
            <w:tcW w:w="1337" w:type="dxa"/>
            <w:shd w:val="clear" w:color="auto" w:fill="FFF2CC" w:themeFill="accent4" w:themeFillTint="33"/>
          </w:tcPr>
          <w:p w14:paraId="33D07DC7" w14:textId="77777777" w:rsidR="00523599" w:rsidRPr="00707725" w:rsidRDefault="00523599" w:rsidP="00F423B4">
            <w:pPr>
              <w:tabs>
                <w:tab w:val="left" w:pos="855"/>
              </w:tabs>
              <w:jc w:val="center"/>
              <w:rPr>
                <w:szCs w:val="22"/>
                <w:lang w:val="is-IS"/>
              </w:rPr>
            </w:pPr>
          </w:p>
        </w:tc>
        <w:tc>
          <w:tcPr>
            <w:tcW w:w="1337" w:type="dxa"/>
            <w:shd w:val="clear" w:color="auto" w:fill="FFF2CC" w:themeFill="accent4" w:themeFillTint="33"/>
          </w:tcPr>
          <w:p w14:paraId="33D07DC8" w14:textId="77777777" w:rsidR="00523599" w:rsidRPr="00707725" w:rsidRDefault="00523599" w:rsidP="00F423B4">
            <w:pPr>
              <w:tabs>
                <w:tab w:val="left" w:pos="855"/>
              </w:tabs>
              <w:jc w:val="center"/>
              <w:rPr>
                <w:szCs w:val="22"/>
                <w:lang w:val="is-IS"/>
              </w:rPr>
            </w:pPr>
            <w:r w:rsidRPr="00707725">
              <w:rPr>
                <w:szCs w:val="22"/>
                <w:lang w:val="is-IS"/>
              </w:rPr>
              <w:t>50500</w:t>
            </w:r>
          </w:p>
        </w:tc>
        <w:tc>
          <w:tcPr>
            <w:tcW w:w="1338" w:type="dxa"/>
            <w:shd w:val="clear" w:color="auto" w:fill="FFF2CC" w:themeFill="accent4" w:themeFillTint="33"/>
          </w:tcPr>
          <w:p w14:paraId="33D07DC9" w14:textId="77777777" w:rsidR="00523599" w:rsidRPr="00707725" w:rsidRDefault="00523599" w:rsidP="00F423B4">
            <w:pPr>
              <w:tabs>
                <w:tab w:val="left" w:pos="855"/>
              </w:tabs>
              <w:jc w:val="center"/>
              <w:rPr>
                <w:szCs w:val="22"/>
                <w:lang w:val="is-IS"/>
              </w:rPr>
            </w:pPr>
            <w:r w:rsidRPr="00707725">
              <w:rPr>
                <w:szCs w:val="22"/>
                <w:lang w:val="is-IS"/>
              </w:rPr>
              <w:t>3,37</w:t>
            </w:r>
          </w:p>
        </w:tc>
      </w:tr>
      <w:tr w:rsidR="00523599" w14:paraId="33D07DD0" w14:textId="77777777" w:rsidTr="00C45043">
        <w:trPr>
          <w:jc w:val="center"/>
        </w:trPr>
        <w:tc>
          <w:tcPr>
            <w:tcW w:w="2345" w:type="dxa"/>
            <w:shd w:val="clear" w:color="auto" w:fill="D9E2F3" w:themeFill="accent5" w:themeFillTint="33"/>
          </w:tcPr>
          <w:p w14:paraId="33D07DCB" w14:textId="4F262D3B" w:rsidR="00523599" w:rsidRPr="00707725" w:rsidRDefault="00523599" w:rsidP="00F423B4">
            <w:pPr>
              <w:tabs>
                <w:tab w:val="left" w:pos="855"/>
              </w:tabs>
              <w:rPr>
                <w:szCs w:val="22"/>
                <w:lang w:val="is-IS"/>
              </w:rPr>
            </w:pPr>
            <w:r w:rsidRPr="00707725">
              <w:rPr>
                <w:szCs w:val="22"/>
                <w:lang w:val="is-IS"/>
              </w:rPr>
              <w:t>B11/</w:t>
            </w:r>
            <w:r w:rsidR="006853DE">
              <w:rPr>
                <w:b/>
                <w:szCs w:val="22"/>
                <w:lang w:val="is-IS"/>
              </w:rPr>
              <w:t xml:space="preserve"> PG 70/100</w:t>
            </w:r>
          </w:p>
        </w:tc>
        <w:tc>
          <w:tcPr>
            <w:tcW w:w="1337" w:type="dxa"/>
            <w:shd w:val="clear" w:color="auto" w:fill="FFF2CC" w:themeFill="accent4" w:themeFillTint="33"/>
          </w:tcPr>
          <w:p w14:paraId="33D07DCC" w14:textId="77777777" w:rsidR="00523599" w:rsidRPr="00707725" w:rsidRDefault="00523599" w:rsidP="00F423B4">
            <w:pPr>
              <w:tabs>
                <w:tab w:val="left" w:pos="855"/>
              </w:tabs>
              <w:jc w:val="center"/>
              <w:rPr>
                <w:szCs w:val="22"/>
                <w:lang w:val="is-IS"/>
              </w:rPr>
            </w:pPr>
            <w:r w:rsidRPr="00707725">
              <w:rPr>
                <w:szCs w:val="22"/>
                <w:lang w:val="is-IS"/>
              </w:rPr>
              <w:t>39600</w:t>
            </w:r>
          </w:p>
        </w:tc>
        <w:tc>
          <w:tcPr>
            <w:tcW w:w="1337" w:type="dxa"/>
            <w:shd w:val="clear" w:color="auto" w:fill="FFF2CC" w:themeFill="accent4" w:themeFillTint="33"/>
          </w:tcPr>
          <w:p w14:paraId="33D07DCD" w14:textId="77777777" w:rsidR="00523599" w:rsidRPr="00707725" w:rsidRDefault="00523599" w:rsidP="00F423B4">
            <w:pPr>
              <w:tabs>
                <w:tab w:val="left" w:pos="855"/>
              </w:tabs>
              <w:jc w:val="center"/>
              <w:rPr>
                <w:szCs w:val="22"/>
                <w:lang w:val="is-IS"/>
              </w:rPr>
            </w:pPr>
            <w:r w:rsidRPr="00707725">
              <w:rPr>
                <w:szCs w:val="22"/>
                <w:lang w:val="is-IS"/>
              </w:rPr>
              <w:t>2,63</w:t>
            </w:r>
          </w:p>
        </w:tc>
        <w:tc>
          <w:tcPr>
            <w:tcW w:w="1337" w:type="dxa"/>
            <w:shd w:val="clear" w:color="auto" w:fill="FFF2CC" w:themeFill="accent4" w:themeFillTint="33"/>
          </w:tcPr>
          <w:p w14:paraId="33D07DCE" w14:textId="77777777" w:rsidR="00523599" w:rsidRPr="00707725" w:rsidRDefault="00523599" w:rsidP="00F423B4">
            <w:pPr>
              <w:tabs>
                <w:tab w:val="left" w:pos="855"/>
              </w:tabs>
              <w:jc w:val="center"/>
              <w:rPr>
                <w:szCs w:val="22"/>
                <w:lang w:val="is-IS"/>
              </w:rPr>
            </w:pPr>
          </w:p>
        </w:tc>
        <w:tc>
          <w:tcPr>
            <w:tcW w:w="1338" w:type="dxa"/>
            <w:shd w:val="clear" w:color="auto" w:fill="FFF2CC" w:themeFill="accent4" w:themeFillTint="33"/>
          </w:tcPr>
          <w:p w14:paraId="33D07DCF" w14:textId="77777777" w:rsidR="00523599" w:rsidRPr="00707725" w:rsidRDefault="00523599" w:rsidP="00F423B4">
            <w:pPr>
              <w:tabs>
                <w:tab w:val="left" w:pos="855"/>
              </w:tabs>
              <w:jc w:val="center"/>
              <w:rPr>
                <w:szCs w:val="22"/>
                <w:lang w:val="is-IS"/>
              </w:rPr>
            </w:pPr>
          </w:p>
        </w:tc>
      </w:tr>
      <w:tr w:rsidR="00523599" w14:paraId="33D07DD6" w14:textId="77777777" w:rsidTr="00C45043">
        <w:trPr>
          <w:jc w:val="center"/>
        </w:trPr>
        <w:tc>
          <w:tcPr>
            <w:tcW w:w="2345" w:type="dxa"/>
            <w:shd w:val="clear" w:color="auto" w:fill="D9E2F3" w:themeFill="accent5" w:themeFillTint="33"/>
          </w:tcPr>
          <w:p w14:paraId="33D07DD1" w14:textId="06A21B23" w:rsidR="00523599" w:rsidRPr="00707725" w:rsidRDefault="00523599" w:rsidP="00F423B4">
            <w:pPr>
              <w:tabs>
                <w:tab w:val="left" w:pos="855"/>
              </w:tabs>
              <w:rPr>
                <w:szCs w:val="22"/>
                <w:lang w:val="is-IS"/>
              </w:rPr>
            </w:pPr>
            <w:r w:rsidRPr="00707725">
              <w:rPr>
                <w:szCs w:val="22"/>
                <w:lang w:val="is-IS"/>
              </w:rPr>
              <w:t>S11/</w:t>
            </w:r>
            <w:r w:rsidR="006853DE">
              <w:rPr>
                <w:b/>
                <w:szCs w:val="22"/>
                <w:lang w:val="is-IS"/>
              </w:rPr>
              <w:t xml:space="preserve"> PG 160/220</w:t>
            </w:r>
          </w:p>
        </w:tc>
        <w:tc>
          <w:tcPr>
            <w:tcW w:w="1337" w:type="dxa"/>
            <w:shd w:val="clear" w:color="auto" w:fill="FFF2CC" w:themeFill="accent4" w:themeFillTint="33"/>
          </w:tcPr>
          <w:p w14:paraId="33D07DD2" w14:textId="77777777" w:rsidR="00523599" w:rsidRPr="00707725" w:rsidRDefault="00523599" w:rsidP="00F423B4">
            <w:pPr>
              <w:tabs>
                <w:tab w:val="left" w:pos="855"/>
              </w:tabs>
              <w:jc w:val="center"/>
              <w:rPr>
                <w:szCs w:val="22"/>
                <w:lang w:val="is-IS"/>
              </w:rPr>
            </w:pPr>
          </w:p>
        </w:tc>
        <w:tc>
          <w:tcPr>
            <w:tcW w:w="1337" w:type="dxa"/>
            <w:shd w:val="clear" w:color="auto" w:fill="FFF2CC" w:themeFill="accent4" w:themeFillTint="33"/>
          </w:tcPr>
          <w:p w14:paraId="33D07DD3" w14:textId="77777777" w:rsidR="00523599" w:rsidRPr="00707725" w:rsidRDefault="00523599" w:rsidP="00F423B4">
            <w:pPr>
              <w:tabs>
                <w:tab w:val="left" w:pos="855"/>
              </w:tabs>
              <w:jc w:val="center"/>
              <w:rPr>
                <w:szCs w:val="22"/>
                <w:lang w:val="is-IS"/>
              </w:rPr>
            </w:pPr>
          </w:p>
        </w:tc>
        <w:tc>
          <w:tcPr>
            <w:tcW w:w="1337" w:type="dxa"/>
            <w:shd w:val="clear" w:color="auto" w:fill="FFF2CC" w:themeFill="accent4" w:themeFillTint="33"/>
          </w:tcPr>
          <w:p w14:paraId="33D07DD4" w14:textId="77777777" w:rsidR="00523599" w:rsidRPr="00707725" w:rsidRDefault="00523599" w:rsidP="00F423B4">
            <w:pPr>
              <w:tabs>
                <w:tab w:val="left" w:pos="855"/>
              </w:tabs>
              <w:jc w:val="center"/>
              <w:rPr>
                <w:szCs w:val="22"/>
                <w:lang w:val="is-IS"/>
              </w:rPr>
            </w:pPr>
            <w:r w:rsidRPr="00707725">
              <w:rPr>
                <w:szCs w:val="22"/>
                <w:lang w:val="is-IS"/>
              </w:rPr>
              <w:t>35800</w:t>
            </w:r>
          </w:p>
        </w:tc>
        <w:tc>
          <w:tcPr>
            <w:tcW w:w="1338" w:type="dxa"/>
            <w:shd w:val="clear" w:color="auto" w:fill="FFF2CC" w:themeFill="accent4" w:themeFillTint="33"/>
          </w:tcPr>
          <w:p w14:paraId="33D07DD5" w14:textId="77777777" w:rsidR="00523599" w:rsidRPr="00707725" w:rsidRDefault="00523599" w:rsidP="00F423B4">
            <w:pPr>
              <w:tabs>
                <w:tab w:val="left" w:pos="855"/>
              </w:tabs>
              <w:jc w:val="center"/>
              <w:rPr>
                <w:szCs w:val="22"/>
                <w:lang w:val="is-IS"/>
              </w:rPr>
            </w:pPr>
            <w:r w:rsidRPr="00707725">
              <w:rPr>
                <w:szCs w:val="22"/>
                <w:lang w:val="is-IS"/>
              </w:rPr>
              <w:t>2,66</w:t>
            </w:r>
          </w:p>
        </w:tc>
      </w:tr>
      <w:tr w:rsidR="00523599" w14:paraId="33D07DDC" w14:textId="77777777" w:rsidTr="00C45043">
        <w:trPr>
          <w:jc w:val="center"/>
        </w:trPr>
        <w:tc>
          <w:tcPr>
            <w:tcW w:w="2345" w:type="dxa"/>
            <w:shd w:val="clear" w:color="auto" w:fill="D9E2F3" w:themeFill="accent5" w:themeFillTint="33"/>
          </w:tcPr>
          <w:p w14:paraId="33D07DD7" w14:textId="77777777" w:rsidR="00523599" w:rsidRPr="00707725" w:rsidRDefault="00523599" w:rsidP="00F423B4">
            <w:pPr>
              <w:tabs>
                <w:tab w:val="left" w:pos="855"/>
              </w:tabs>
              <w:jc w:val="center"/>
              <w:rPr>
                <w:i/>
                <w:szCs w:val="22"/>
                <w:lang w:val="is-IS"/>
              </w:rPr>
            </w:pPr>
            <w:r w:rsidRPr="00707725">
              <w:rPr>
                <w:i/>
                <w:szCs w:val="22"/>
                <w:lang w:val="is-IS"/>
              </w:rPr>
              <w:t>Meðaltal</w:t>
            </w:r>
          </w:p>
        </w:tc>
        <w:tc>
          <w:tcPr>
            <w:tcW w:w="1337" w:type="dxa"/>
            <w:shd w:val="clear" w:color="auto" w:fill="FFF2CC" w:themeFill="accent4" w:themeFillTint="33"/>
          </w:tcPr>
          <w:p w14:paraId="33D07DD8" w14:textId="77777777" w:rsidR="00523599" w:rsidRPr="00707725" w:rsidRDefault="00523599" w:rsidP="00F423B4">
            <w:pPr>
              <w:tabs>
                <w:tab w:val="left" w:pos="855"/>
              </w:tabs>
              <w:jc w:val="center"/>
              <w:rPr>
                <w:i/>
                <w:szCs w:val="22"/>
                <w:lang w:val="is-IS"/>
              </w:rPr>
            </w:pPr>
            <w:r w:rsidRPr="00707725">
              <w:rPr>
                <w:i/>
                <w:szCs w:val="22"/>
                <w:lang w:val="is-IS"/>
              </w:rPr>
              <w:t>37725</w:t>
            </w:r>
          </w:p>
        </w:tc>
        <w:tc>
          <w:tcPr>
            <w:tcW w:w="1337" w:type="dxa"/>
            <w:shd w:val="clear" w:color="auto" w:fill="FFF2CC" w:themeFill="accent4" w:themeFillTint="33"/>
          </w:tcPr>
          <w:p w14:paraId="33D07DD9" w14:textId="77777777" w:rsidR="00523599" w:rsidRPr="00707725" w:rsidRDefault="00523599" w:rsidP="00F423B4">
            <w:pPr>
              <w:tabs>
                <w:tab w:val="left" w:pos="855"/>
              </w:tabs>
              <w:jc w:val="center"/>
              <w:rPr>
                <w:i/>
                <w:szCs w:val="22"/>
                <w:lang w:val="is-IS"/>
              </w:rPr>
            </w:pPr>
            <w:r w:rsidRPr="00707725">
              <w:rPr>
                <w:i/>
                <w:szCs w:val="22"/>
                <w:lang w:val="is-IS"/>
              </w:rPr>
              <w:t>4,12</w:t>
            </w:r>
          </w:p>
        </w:tc>
        <w:tc>
          <w:tcPr>
            <w:tcW w:w="1337" w:type="dxa"/>
            <w:shd w:val="clear" w:color="auto" w:fill="FFF2CC" w:themeFill="accent4" w:themeFillTint="33"/>
          </w:tcPr>
          <w:p w14:paraId="33D07DDA" w14:textId="77777777" w:rsidR="00523599" w:rsidRPr="00707725" w:rsidRDefault="00523599" w:rsidP="00F423B4">
            <w:pPr>
              <w:tabs>
                <w:tab w:val="left" w:pos="855"/>
              </w:tabs>
              <w:jc w:val="center"/>
              <w:rPr>
                <w:i/>
                <w:szCs w:val="22"/>
                <w:lang w:val="is-IS"/>
              </w:rPr>
            </w:pPr>
            <w:r w:rsidRPr="00707725">
              <w:rPr>
                <w:i/>
                <w:szCs w:val="22"/>
                <w:lang w:val="is-IS"/>
              </w:rPr>
              <w:t>44075</w:t>
            </w:r>
          </w:p>
        </w:tc>
        <w:tc>
          <w:tcPr>
            <w:tcW w:w="1338" w:type="dxa"/>
            <w:shd w:val="clear" w:color="auto" w:fill="FFF2CC" w:themeFill="accent4" w:themeFillTint="33"/>
          </w:tcPr>
          <w:p w14:paraId="33D07DDB" w14:textId="77777777" w:rsidR="00523599" w:rsidRPr="00707725" w:rsidRDefault="00523599" w:rsidP="00F423B4">
            <w:pPr>
              <w:tabs>
                <w:tab w:val="left" w:pos="855"/>
              </w:tabs>
              <w:jc w:val="center"/>
              <w:rPr>
                <w:i/>
                <w:szCs w:val="22"/>
                <w:lang w:val="is-IS"/>
              </w:rPr>
            </w:pPr>
            <w:r w:rsidRPr="00707725">
              <w:rPr>
                <w:i/>
                <w:szCs w:val="22"/>
                <w:lang w:val="is-IS"/>
              </w:rPr>
              <w:t>3,84</w:t>
            </w:r>
          </w:p>
        </w:tc>
      </w:tr>
    </w:tbl>
    <w:p w14:paraId="33D07DDD" w14:textId="77777777" w:rsidR="00523599" w:rsidRDefault="00523599" w:rsidP="00523599">
      <w:pPr>
        <w:ind w:left="513"/>
        <w:jc w:val="both"/>
        <w:rPr>
          <w:sz w:val="24"/>
          <w:szCs w:val="24"/>
          <w:lang w:val="is-IS"/>
        </w:rPr>
      </w:pPr>
    </w:p>
    <w:p w14:paraId="33D07DDE" w14:textId="58198DCD" w:rsidR="00523599" w:rsidRDefault="00523599" w:rsidP="00523599">
      <w:pPr>
        <w:jc w:val="both"/>
        <w:rPr>
          <w:szCs w:val="22"/>
          <w:lang w:val="is-IS"/>
        </w:rPr>
      </w:pPr>
      <w:r w:rsidRPr="002F17AB">
        <w:rPr>
          <w:lang w:val="is-IS"/>
        </w:rPr>
        <w:t xml:space="preserve">Til </w:t>
      </w:r>
      <w:r w:rsidRPr="002F17AB">
        <w:rPr>
          <w:szCs w:val="22"/>
          <w:lang w:val="is-IS"/>
        </w:rPr>
        <w:t xml:space="preserve">samanburðar við gildin í töflu 1 má </w:t>
      </w:r>
      <w:r>
        <w:rPr>
          <w:szCs w:val="22"/>
          <w:lang w:val="is-IS"/>
        </w:rPr>
        <w:t>taka kröfur um skriðþol í s</w:t>
      </w:r>
      <w:r w:rsidR="006853DE">
        <w:rPr>
          <w:szCs w:val="22"/>
          <w:lang w:val="is-IS"/>
        </w:rPr>
        <w:t>tíf</w:t>
      </w:r>
      <w:r>
        <w:rPr>
          <w:szCs w:val="22"/>
          <w:lang w:val="is-IS"/>
        </w:rPr>
        <w:t>malbiki</w:t>
      </w:r>
      <w:r w:rsidR="006853DE">
        <w:rPr>
          <w:szCs w:val="22"/>
          <w:lang w:val="is-IS"/>
        </w:rPr>
        <w:t xml:space="preserve"> AC</w:t>
      </w:r>
      <w:r w:rsidR="004176AD">
        <w:rPr>
          <w:szCs w:val="22"/>
          <w:lang w:val="is-IS"/>
        </w:rPr>
        <w:t xml:space="preserve"> </w:t>
      </w:r>
      <w:r>
        <w:rPr>
          <w:szCs w:val="22"/>
          <w:lang w:val="is-IS"/>
        </w:rPr>
        <w:t>úr sænskum viðhaldsverklýsingum [Vägverket 2000, bls. 9]. Ef umferð þungra bíla</w:t>
      </w:r>
      <w:r>
        <w:rPr>
          <w:rStyle w:val="FootnoteReference"/>
          <w:szCs w:val="22"/>
          <w:lang w:val="is-IS"/>
        </w:rPr>
        <w:footnoteReference w:id="3"/>
      </w:r>
      <w:r>
        <w:rPr>
          <w:szCs w:val="22"/>
          <w:lang w:val="is-IS"/>
        </w:rPr>
        <w:t xml:space="preserve"> er minni en ≈500 bílar/akrein/dag eru engar kröfur gerðar til skriðþols. Sé hún undir ≈2000 bílar/akrein/dag má skriðið mest vera 30.000 </w:t>
      </w:r>
      <w:r w:rsidRPr="00213EA2">
        <w:rPr>
          <w:szCs w:val="22"/>
          <w:lang w:val="is-IS"/>
        </w:rPr>
        <w:t>με</w:t>
      </w:r>
      <w:r>
        <w:rPr>
          <w:szCs w:val="22"/>
          <w:lang w:val="is-IS"/>
        </w:rPr>
        <w:t xml:space="preserve"> en fyrir ≈4000 bílar/akrein/dag eða meira er </w:t>
      </w:r>
      <w:r w:rsidR="00205F90">
        <w:rPr>
          <w:szCs w:val="22"/>
          <w:lang w:val="is-IS"/>
        </w:rPr>
        <w:t>hámarkið</w:t>
      </w:r>
      <w:r w:rsidR="001F0FB6">
        <w:rPr>
          <w:szCs w:val="22"/>
          <w:lang w:val="is-IS"/>
        </w:rPr>
        <w:t xml:space="preserve"> 15.000 </w:t>
      </w:r>
      <w:r w:rsidRPr="00213EA2">
        <w:rPr>
          <w:szCs w:val="22"/>
          <w:lang w:val="is-IS"/>
        </w:rPr>
        <w:t>με</w:t>
      </w:r>
      <w:r>
        <w:rPr>
          <w:szCs w:val="22"/>
          <w:lang w:val="is-IS"/>
        </w:rPr>
        <w:t xml:space="preserve">. </w:t>
      </w:r>
    </w:p>
    <w:p w14:paraId="33D07DDF" w14:textId="77777777" w:rsidR="00523599" w:rsidRDefault="00523599" w:rsidP="00523599">
      <w:pPr>
        <w:ind w:firstLine="342"/>
        <w:jc w:val="both"/>
        <w:rPr>
          <w:szCs w:val="22"/>
          <w:lang w:val="is-IS"/>
        </w:rPr>
      </w:pPr>
      <w:r>
        <w:rPr>
          <w:szCs w:val="22"/>
          <w:lang w:val="is-IS"/>
        </w:rPr>
        <w:t>Niðurstöður skriðmælinganna sem eru tíundaðar hér á undan gefa til kynna mjög breytilegt skriðþol fyrir íslenskt malbik, allt frá því að vera mjög mikið (&lt;</w:t>
      </w:r>
      <w:r w:rsidR="006853DE">
        <w:rPr>
          <w:szCs w:val="22"/>
          <w:lang w:val="is-IS"/>
        </w:rPr>
        <w:t xml:space="preserve"> </w:t>
      </w:r>
      <w:r>
        <w:rPr>
          <w:szCs w:val="22"/>
          <w:lang w:val="is-IS"/>
        </w:rPr>
        <w:t xml:space="preserve">15.000 </w:t>
      </w:r>
      <w:r w:rsidRPr="00213EA2">
        <w:rPr>
          <w:szCs w:val="22"/>
          <w:lang w:val="is-IS"/>
        </w:rPr>
        <w:t>με</w:t>
      </w:r>
      <w:r>
        <w:rPr>
          <w:szCs w:val="22"/>
          <w:lang w:val="is-IS"/>
        </w:rPr>
        <w:t>) niður í mjög lítið (&gt;</w:t>
      </w:r>
      <w:r w:rsidR="006853DE">
        <w:rPr>
          <w:szCs w:val="22"/>
          <w:lang w:val="is-IS"/>
        </w:rPr>
        <w:t xml:space="preserve"> </w:t>
      </w:r>
      <w:r>
        <w:rPr>
          <w:szCs w:val="22"/>
          <w:lang w:val="is-IS"/>
        </w:rPr>
        <w:t xml:space="preserve">40.000 </w:t>
      </w:r>
      <w:r w:rsidRPr="00213EA2">
        <w:rPr>
          <w:szCs w:val="22"/>
          <w:lang w:val="is-IS"/>
        </w:rPr>
        <w:t>με</w:t>
      </w:r>
      <w:r>
        <w:rPr>
          <w:szCs w:val="22"/>
          <w:lang w:val="is-IS"/>
        </w:rPr>
        <w:t xml:space="preserve">). Á hinn bóginn er ólíklegt að þung umferð fari yfir 500 bíla/akrein/dag nema þá á nokkrum vegarköflum á höfuðborgarsvæðinu.    </w:t>
      </w:r>
    </w:p>
    <w:p w14:paraId="33D07DE1" w14:textId="37830453" w:rsidR="00523599" w:rsidRPr="00F01789" w:rsidRDefault="00523599" w:rsidP="006868A9">
      <w:pPr>
        <w:pStyle w:val="Heading2"/>
        <w:rPr>
          <w:lang w:val="is-IS"/>
        </w:rPr>
      </w:pPr>
      <w:bookmarkStart w:id="17" w:name="_Toc52974022"/>
      <w:r w:rsidRPr="00F01789">
        <w:rPr>
          <w:lang w:val="is-IS"/>
        </w:rPr>
        <w:t xml:space="preserve">Mælingar á skriði </w:t>
      </w:r>
      <w:r w:rsidR="00C45C92">
        <w:rPr>
          <w:lang w:val="is-IS"/>
        </w:rPr>
        <w:t>í veg</w:t>
      </w:r>
      <w:r w:rsidR="00636F2D">
        <w:rPr>
          <w:lang w:val="is-IS"/>
        </w:rPr>
        <w:t>i</w:t>
      </w:r>
      <w:bookmarkEnd w:id="17"/>
      <w:r w:rsidRPr="00F01789">
        <w:rPr>
          <w:lang w:val="is-IS"/>
        </w:rPr>
        <w:t xml:space="preserve"> </w:t>
      </w:r>
    </w:p>
    <w:p w14:paraId="33D07DE2" w14:textId="4D2ABBD8" w:rsidR="00523599" w:rsidRPr="009662F9" w:rsidRDefault="00523599" w:rsidP="001044F8">
      <w:pPr>
        <w:jc w:val="both"/>
        <w:rPr>
          <w:szCs w:val="22"/>
          <w:lang w:val="is-IS"/>
        </w:rPr>
      </w:pPr>
      <w:r w:rsidRPr="009662F9">
        <w:rPr>
          <w:szCs w:val="22"/>
          <w:lang w:val="is-IS"/>
        </w:rPr>
        <w:t xml:space="preserve">Steinefnanefnd lét á sínum tíma mæla aukningu í hjólfaradýpt á einu sumri í fimm tilraunaköflum á Sæbraut [Ásbjörn Jóhannesson 1998, Ásbjörn Jóhannesson 2000]. Allar malbiksgerðirnar voru </w:t>
      </w:r>
      <w:r w:rsidR="006853DE">
        <w:rPr>
          <w:szCs w:val="22"/>
          <w:lang w:val="is-IS"/>
        </w:rPr>
        <w:t>AC</w:t>
      </w:r>
      <w:r w:rsidRPr="009662F9">
        <w:rPr>
          <w:szCs w:val="22"/>
          <w:lang w:val="is-IS"/>
        </w:rPr>
        <w:t>16 en úr mismunandi steinefni; Björgunarefni, holrýmd 0,6%, festa 11 kN, sig 7,4 mm; Esjubergsefni, holrýmd 0,6%, festa 10 kN, sig 7,2 mm; Leirvogstunguefni (Leirvogsá), holrýmd 0,0%, festa 11 kN, sig 8,2 mm; Seljadalsefni, holrýmd 0,6%, festa 10 kN, sig 6,2 mm og Snasaefni, holrýmd 0,9%, festa 10 kN, sig 6,8 mm, allt skv. rannsóknum á malbiki frá stöð. Holrýmd í borkjörnum var um það bil einu og hálfu prósenti meiri en holrýmd í malbiki frá stöð</w:t>
      </w:r>
      <w:r>
        <w:rPr>
          <w:szCs w:val="22"/>
          <w:lang w:val="is-IS"/>
        </w:rPr>
        <w:t xml:space="preserve"> sem var mæld í Marshallprófi</w:t>
      </w:r>
      <w:r w:rsidRPr="009662F9">
        <w:rPr>
          <w:szCs w:val="22"/>
          <w:lang w:val="is-IS"/>
        </w:rPr>
        <w:t xml:space="preserve">. </w:t>
      </w:r>
    </w:p>
    <w:p w14:paraId="33D07DE3" w14:textId="6FBCD3A1" w:rsidR="00523599" w:rsidRPr="009662F9" w:rsidRDefault="00523599" w:rsidP="00523599">
      <w:pPr>
        <w:ind w:firstLine="342"/>
        <w:jc w:val="both"/>
        <w:rPr>
          <w:szCs w:val="22"/>
          <w:lang w:val="is-IS"/>
        </w:rPr>
      </w:pPr>
      <w:r w:rsidRPr="009662F9">
        <w:rPr>
          <w:szCs w:val="22"/>
          <w:lang w:val="is-IS"/>
        </w:rPr>
        <w:t>Hjólfaradýpt á þessum köflum var mæld í tvígang sumarið 1991 (ári eftir útlögn) og aftur sumarið 1992. Þá kom í ljós að hjólförin dýpkuðu marktækt milli</w:t>
      </w:r>
      <w:r>
        <w:rPr>
          <w:sz w:val="24"/>
          <w:szCs w:val="24"/>
          <w:lang w:val="is-IS"/>
        </w:rPr>
        <w:t xml:space="preserve"> </w:t>
      </w:r>
      <w:r w:rsidRPr="009662F9">
        <w:rPr>
          <w:szCs w:val="22"/>
          <w:lang w:val="is-IS"/>
        </w:rPr>
        <w:t>mælinga sumarið 1991 (um 0,7-1,8 mm). Þessi dýpkun var á bilinu 15-35% af aukningu í hjólfaradýpt á sömu stöðum milli sumranna 1991 og 1992 (á einum stað mældist hjólfaraaukningin yfir sumarið meiri en milli sumra, sem fær ekki staðist).</w:t>
      </w:r>
    </w:p>
    <w:p w14:paraId="33D07DE4" w14:textId="3A0FC2BF" w:rsidR="00523599" w:rsidRPr="009662F9" w:rsidRDefault="00523599" w:rsidP="00523599">
      <w:pPr>
        <w:ind w:firstLine="342"/>
        <w:jc w:val="both"/>
        <w:rPr>
          <w:szCs w:val="22"/>
          <w:lang w:val="is-IS"/>
        </w:rPr>
      </w:pPr>
      <w:r w:rsidRPr="009662F9">
        <w:rPr>
          <w:szCs w:val="22"/>
          <w:lang w:val="is-IS"/>
        </w:rPr>
        <w:t xml:space="preserve">Nokkru seinna lét Steinefnanefnd mæla aukningu í hjólfaradýpt á einu sumri í þrem tilraunaköflum í Reykjavík [Ásbjörn Jóhannesson 1998]. Slitlagið á þessum köflum var </w:t>
      </w:r>
      <w:r w:rsidR="006853DE">
        <w:rPr>
          <w:szCs w:val="22"/>
          <w:lang w:val="is-IS"/>
        </w:rPr>
        <w:t xml:space="preserve">steinríkt malbik </w:t>
      </w:r>
      <w:r w:rsidRPr="009662F9">
        <w:rPr>
          <w:szCs w:val="22"/>
          <w:lang w:val="is-IS"/>
        </w:rPr>
        <w:t xml:space="preserve">SMA, holrýmd 0,0%, festa 7 kN, sig 5,3 mm; </w:t>
      </w:r>
      <w:r w:rsidR="006853DE">
        <w:rPr>
          <w:szCs w:val="22"/>
          <w:lang w:val="is-IS"/>
        </w:rPr>
        <w:t>AC</w:t>
      </w:r>
      <w:r w:rsidRPr="009662F9">
        <w:rPr>
          <w:szCs w:val="22"/>
          <w:lang w:val="is-IS"/>
        </w:rPr>
        <w:t xml:space="preserve">16, holrýmd 0,1%, festa 10 kN, sig 4,3 mm og </w:t>
      </w:r>
      <w:r w:rsidR="006853DE">
        <w:rPr>
          <w:szCs w:val="22"/>
          <w:lang w:val="is-IS"/>
        </w:rPr>
        <w:t>AC</w:t>
      </w:r>
      <w:r w:rsidRPr="009662F9">
        <w:rPr>
          <w:szCs w:val="22"/>
          <w:lang w:val="is-IS"/>
        </w:rPr>
        <w:t xml:space="preserve">12, holrýmd 1,3%, festa 9 kN, sig 3,9 mm, allt skv. rannsóknum á malbiki frá stöð. Holrýmd í borkjörnum var aðeins mæld á einum stað, í </w:t>
      </w:r>
      <w:r w:rsidR="006853DE">
        <w:rPr>
          <w:szCs w:val="22"/>
          <w:lang w:val="is-IS"/>
        </w:rPr>
        <w:t>AC</w:t>
      </w:r>
      <w:r w:rsidRPr="009662F9">
        <w:rPr>
          <w:szCs w:val="22"/>
          <w:lang w:val="is-IS"/>
        </w:rPr>
        <w:t xml:space="preserve">16 og reyndist vera 1,0%. </w:t>
      </w:r>
    </w:p>
    <w:p w14:paraId="33D07DE6" w14:textId="09AEEB96" w:rsidR="00523599" w:rsidRPr="00D14E7C" w:rsidRDefault="00523599" w:rsidP="00D14E7C">
      <w:pPr>
        <w:ind w:firstLine="342"/>
        <w:jc w:val="both"/>
        <w:rPr>
          <w:szCs w:val="22"/>
          <w:lang w:val="is-IS"/>
        </w:rPr>
      </w:pPr>
      <w:r w:rsidRPr="009662F9">
        <w:rPr>
          <w:szCs w:val="22"/>
          <w:lang w:val="is-IS"/>
        </w:rPr>
        <w:lastRenderedPageBreak/>
        <w:t xml:space="preserve">Niðurstöður mælinga á hjólfaradýpt á þessum köflum benda eindregið til að skrið hafi átt sér stað. Sumarið 1997 jukust hjólförin um 0,6 - 1,0 mm, mest í SMA, minnst í </w:t>
      </w:r>
      <w:r w:rsidR="006853DE">
        <w:rPr>
          <w:szCs w:val="22"/>
          <w:lang w:val="is-IS"/>
        </w:rPr>
        <w:t>AC</w:t>
      </w:r>
      <w:r w:rsidRPr="009662F9">
        <w:rPr>
          <w:szCs w:val="22"/>
          <w:lang w:val="is-IS"/>
        </w:rPr>
        <w:t>16. Hlutur skriðs í hjólfaramyndun var áætlað 10-15% út frá sliti á samskonar slitlagsgerðum, en þessar tölur eru ónákvæmar.</w:t>
      </w:r>
    </w:p>
    <w:p w14:paraId="33D07DE7" w14:textId="77777777" w:rsidR="00523599" w:rsidRPr="00F01789" w:rsidRDefault="00523599" w:rsidP="006868A9">
      <w:pPr>
        <w:pStyle w:val="Heading2"/>
        <w:rPr>
          <w:lang w:val="is-IS"/>
        </w:rPr>
      </w:pPr>
      <w:bookmarkStart w:id="18" w:name="_Toc52974023"/>
      <w:r w:rsidRPr="00F01789">
        <w:rPr>
          <w:lang w:val="is-IS"/>
        </w:rPr>
        <w:t>Aðrar vísbendingar með og á móti skriði</w:t>
      </w:r>
      <w:bookmarkEnd w:id="18"/>
      <w:r w:rsidRPr="00F01789">
        <w:rPr>
          <w:lang w:val="is-IS"/>
        </w:rPr>
        <w:t xml:space="preserve"> </w:t>
      </w:r>
    </w:p>
    <w:p w14:paraId="33D07DE8" w14:textId="77777777" w:rsidR="00523599" w:rsidRPr="009662F9" w:rsidRDefault="00523599" w:rsidP="001044F8">
      <w:pPr>
        <w:jc w:val="both"/>
        <w:rPr>
          <w:szCs w:val="22"/>
          <w:lang w:val="is-IS"/>
        </w:rPr>
      </w:pPr>
      <w:r w:rsidRPr="009662F9">
        <w:rPr>
          <w:szCs w:val="22"/>
          <w:lang w:val="is-IS"/>
        </w:rPr>
        <w:t>Vísbendingar um skrið má fá með því að skoða hjólför [Wiman 2000]. Ef vinstra hjólfarið er staðbundið</w:t>
      </w:r>
      <w:r>
        <w:rPr>
          <w:szCs w:val="22"/>
          <w:lang w:val="is-IS"/>
        </w:rPr>
        <w:t>,</w:t>
      </w:r>
      <w:r w:rsidRPr="009662F9">
        <w:rPr>
          <w:szCs w:val="22"/>
          <w:lang w:val="is-IS"/>
        </w:rPr>
        <w:t xml:space="preserve"> en það hægra dreifðara er líklegt að hjólförin megi bæði rekja til slits og skriðs. Ástæðan er sú að bílar sækja í að aka í sama hjólfari vinstra megin, en þar sem þungir bílar eru breiðari en léttir (og yfirleitt ekki á negldum hjólbörðum) falla áhrifin af sliti og skriði ekki saman í hægra hjólfari. Séu bæði hjólför álíka breið og álíka kröpp er líklegt að þau stafi af sliti, sérstaklega ef bilið á milli þeirra er í samræmi við bil á milli hjóla á fólksbílum. Wiman telur ennfremur að nánast allt skrið megi rekja til þungra bíla.   </w:t>
      </w:r>
    </w:p>
    <w:p w14:paraId="33D07DEA" w14:textId="4DFA89FA" w:rsidR="00523599" w:rsidRDefault="00523599" w:rsidP="00D14E7C">
      <w:pPr>
        <w:ind w:firstLine="342"/>
        <w:jc w:val="both"/>
        <w:rPr>
          <w:szCs w:val="22"/>
          <w:lang w:val="is-IS"/>
        </w:rPr>
      </w:pPr>
      <w:r w:rsidRPr="009662F9">
        <w:rPr>
          <w:szCs w:val="22"/>
          <w:lang w:val="is-IS"/>
        </w:rPr>
        <w:t xml:space="preserve">För eftir tvö hjól hlið við hlið í sama hjólfari eru merki um skrið. Hjólfarið lítur þá út eins og mót af tvöföldum afturhjólum á þungaflutningabíl. Stundum má sjá að malbikið </w:t>
      </w:r>
      <w:r>
        <w:rPr>
          <w:szCs w:val="22"/>
          <w:lang w:val="is-IS"/>
        </w:rPr>
        <w:t xml:space="preserve">hefur </w:t>
      </w:r>
      <w:r w:rsidRPr="009662F9">
        <w:rPr>
          <w:szCs w:val="22"/>
          <w:lang w:val="is-IS"/>
        </w:rPr>
        <w:t xml:space="preserve">pressast upp í hrygg milli hjólanna. Ef malbik hefur ýtst eða dregist til í akstursstefnuna er það sömuleiðis merki um skrið; þetta sést frekast þar sem þungir bílar stansa á ljósastýrðum gatnamótum. </w:t>
      </w:r>
    </w:p>
    <w:p w14:paraId="33D07DEB" w14:textId="77777777" w:rsidR="00523599" w:rsidRPr="00F01789" w:rsidRDefault="00523599" w:rsidP="006868A9">
      <w:pPr>
        <w:pStyle w:val="Heading2"/>
        <w:rPr>
          <w:lang w:val="is-IS"/>
        </w:rPr>
      </w:pPr>
      <w:bookmarkStart w:id="19" w:name="_Toc52974024"/>
      <w:r w:rsidRPr="00F01789">
        <w:rPr>
          <w:lang w:val="is-IS"/>
        </w:rPr>
        <w:t>Merki um skrið í Reykjavík eftir sumarið 2007</w:t>
      </w:r>
      <w:bookmarkEnd w:id="19"/>
      <w:r w:rsidRPr="00F01789">
        <w:rPr>
          <w:lang w:val="is-IS"/>
        </w:rPr>
        <w:t xml:space="preserve"> </w:t>
      </w:r>
    </w:p>
    <w:p w14:paraId="33D07DEC" w14:textId="65ED21E2" w:rsidR="00523599" w:rsidRDefault="00523599" w:rsidP="001044F8">
      <w:pPr>
        <w:jc w:val="both"/>
        <w:rPr>
          <w:szCs w:val="22"/>
          <w:lang w:val="is-IS"/>
        </w:rPr>
      </w:pPr>
      <w:r>
        <w:rPr>
          <w:szCs w:val="22"/>
          <w:lang w:val="is-IS"/>
        </w:rPr>
        <w:t>Júlímánuður 2007 var óvenju hlýr, þurr, lygn og sólríkur í Reykjavík, þó</w:t>
      </w:r>
      <w:r w:rsidR="001F0FB6">
        <w:rPr>
          <w:szCs w:val="22"/>
          <w:lang w:val="is-IS"/>
        </w:rPr>
        <w:t xml:space="preserve">tt engin veðurmet væru slegin. </w:t>
      </w:r>
      <w:r>
        <w:rPr>
          <w:szCs w:val="22"/>
          <w:lang w:val="is-IS"/>
        </w:rPr>
        <w:t xml:space="preserve">Þessi skilyrði ýta undir skrið í malbiki, þar sem yfirborð malbiks getur hitnað langt umfram lofthita þegar sól er hátt á lofti. Í þessum mánuði mældist hæsta hitastig á yfirborði malbiks hartnær 40°C á tveim veðurstöðvum Vegagerðarinnar í nágrenni Reykjavíkur (Sandskeið og Reykjanesbraut) og 33°C á einum stað innanbæjar (Garðabær) á sama tímabili. Hitastig 20 mm undir yfirborði slitlags (viðmiðunardýpt SHRP fyrir hitastig í slitlagi) má reikna út frá yfirborðshita samkvæmt formúlu sem er tilgreind í skýringum við forrit frá Strategic Highway Research Program </w:t>
      </w:r>
      <w:r w:rsidR="00205F90">
        <w:rPr>
          <w:szCs w:val="22"/>
          <w:lang w:val="is-IS"/>
        </w:rPr>
        <w:t>[</w:t>
      </w:r>
      <w:r>
        <w:rPr>
          <w:szCs w:val="22"/>
          <w:lang w:val="is-IS"/>
        </w:rPr>
        <w:t>SHRP 1995</w:t>
      </w:r>
      <w:r w:rsidR="00205F90">
        <w:rPr>
          <w:szCs w:val="22"/>
          <w:lang w:val="is-IS"/>
        </w:rPr>
        <w:t>]</w:t>
      </w:r>
      <w:r>
        <w:rPr>
          <w:szCs w:val="22"/>
          <w:lang w:val="is-IS"/>
        </w:rPr>
        <w:t xml:space="preserve"> sem var gert til að spá um hitastig í malbiki við ýmsar aðstæður. Ef þessi formúla er lögð til grundvallar kemur í ljós að hitastig 20 mm undir yfirborði slitlagsins hefur að líkindum komist í 37°C á Sandskeiði og á Reykjanesbraut, en í 31°C í Garðabæ í júlí 2007.</w:t>
      </w:r>
    </w:p>
    <w:p w14:paraId="33D07DED" w14:textId="270EC2D6" w:rsidR="00523599" w:rsidRDefault="00523599" w:rsidP="00523599">
      <w:pPr>
        <w:ind w:firstLine="342"/>
        <w:jc w:val="both"/>
        <w:rPr>
          <w:szCs w:val="22"/>
          <w:lang w:val="is-IS"/>
        </w:rPr>
      </w:pPr>
      <w:r>
        <w:rPr>
          <w:szCs w:val="22"/>
          <w:lang w:val="is-IS"/>
        </w:rPr>
        <w:t xml:space="preserve">Þessar mælingar sýna að hitastig í slitlagi getur orðið talsvert hærra en spá sú sem líkan Superpave gerir út frá hnattstöðu og veðurfari, sem er 30°C fyrir Reykjavík </w:t>
      </w:r>
      <w:r w:rsidR="00205F90">
        <w:rPr>
          <w:szCs w:val="22"/>
          <w:lang w:val="is-IS"/>
        </w:rPr>
        <w:t>[</w:t>
      </w:r>
      <w:r>
        <w:rPr>
          <w:szCs w:val="22"/>
          <w:lang w:val="is-IS"/>
        </w:rPr>
        <w:t>Ásbjörn Jóhannesson 2005, bls. 26</w:t>
      </w:r>
      <w:r w:rsidR="00205F90">
        <w:rPr>
          <w:szCs w:val="22"/>
          <w:lang w:val="is-IS"/>
        </w:rPr>
        <w:t>]</w:t>
      </w:r>
      <w:r>
        <w:rPr>
          <w:szCs w:val="22"/>
          <w:lang w:val="is-IS"/>
        </w:rPr>
        <w:t>. Engu að síður er þetta hitastig miklu lægra en svo að hætta sé á skriði vegna bindiefnisgerðanna sem eru notaðar hér</w:t>
      </w:r>
      <w:r w:rsidR="00865FE2">
        <w:rPr>
          <w:szCs w:val="22"/>
          <w:lang w:val="is-IS"/>
        </w:rPr>
        <w:t>,</w:t>
      </w:r>
      <w:r w:rsidR="00866D0B">
        <w:rPr>
          <w:szCs w:val="22"/>
          <w:lang w:val="is-IS"/>
        </w:rPr>
        <w:t xml:space="preserve"> þ.e.a.s. samkvæmt ákveðnum forsendum og útreikningum byggðum á Superpa</w:t>
      </w:r>
      <w:r w:rsidR="00865FE2">
        <w:rPr>
          <w:szCs w:val="22"/>
          <w:lang w:val="is-IS"/>
        </w:rPr>
        <w:t>v</w:t>
      </w:r>
      <w:r w:rsidR="00866D0B">
        <w:rPr>
          <w:szCs w:val="22"/>
          <w:lang w:val="is-IS"/>
        </w:rPr>
        <w:t>e. P</w:t>
      </w:r>
      <w:r>
        <w:rPr>
          <w:szCs w:val="22"/>
          <w:lang w:val="is-IS"/>
        </w:rPr>
        <w:t xml:space="preserve">rófanir (reyndar aðeins á tveim sýnum) </w:t>
      </w:r>
      <w:r w:rsidR="00866D0B">
        <w:rPr>
          <w:szCs w:val="22"/>
          <w:lang w:val="is-IS"/>
        </w:rPr>
        <w:t xml:space="preserve">gáfu </w:t>
      </w:r>
      <w:r>
        <w:rPr>
          <w:szCs w:val="22"/>
          <w:lang w:val="is-IS"/>
        </w:rPr>
        <w:t>til kynna að hart bindiefni (70/100) muni þola allt að 66°C í slitlagi og mjúkt (160/220) allt að 58°C (sama heimild bls. 26).</w:t>
      </w:r>
    </w:p>
    <w:p w14:paraId="33D07DEF" w14:textId="65B206D1" w:rsidR="00523599" w:rsidRPr="007D5AF1" w:rsidRDefault="00523599" w:rsidP="007D5AF1">
      <w:pPr>
        <w:ind w:firstLine="342"/>
        <w:jc w:val="both"/>
        <w:rPr>
          <w:szCs w:val="22"/>
          <w:lang w:val="is-IS"/>
        </w:rPr>
      </w:pPr>
      <w:r>
        <w:rPr>
          <w:szCs w:val="22"/>
          <w:lang w:val="is-IS"/>
        </w:rPr>
        <w:t xml:space="preserve">Samt sem áður má sjá merki um skrið á gatnamótum í Reykjavík sem líklega hefur orðið á áðurnefndu tímabili. Þau eru </w:t>
      </w:r>
      <w:r w:rsidR="00866D0B">
        <w:rPr>
          <w:szCs w:val="22"/>
          <w:lang w:val="is-IS"/>
        </w:rPr>
        <w:t xml:space="preserve">mest áberandi </w:t>
      </w:r>
      <w:r>
        <w:rPr>
          <w:szCs w:val="22"/>
          <w:lang w:val="is-IS"/>
        </w:rPr>
        <w:t xml:space="preserve">við ljósastýrð gatnamót á miklum umferðargötum, og sjást </w:t>
      </w:r>
      <w:r w:rsidR="00866D0B">
        <w:rPr>
          <w:szCs w:val="22"/>
          <w:lang w:val="is-IS"/>
        </w:rPr>
        <w:t xml:space="preserve">best </w:t>
      </w:r>
      <w:r>
        <w:rPr>
          <w:szCs w:val="22"/>
          <w:lang w:val="is-IS"/>
        </w:rPr>
        <w:t>framan við ljósin, þar sem bílar stansa og taka af stað. Einkennin eru óreglulegar ójöfnur, líkt og malbikið hafi ekist til í umferðarstefnuna. Á milli gatnamót</w:t>
      </w:r>
      <w:r w:rsidR="00205F90">
        <w:rPr>
          <w:szCs w:val="22"/>
          <w:lang w:val="is-IS"/>
        </w:rPr>
        <w:t>a</w:t>
      </w:r>
      <w:r>
        <w:rPr>
          <w:szCs w:val="22"/>
          <w:lang w:val="is-IS"/>
        </w:rPr>
        <w:t xml:space="preserve"> eru þessi ummerki </w:t>
      </w:r>
      <w:r w:rsidR="00866D0B">
        <w:rPr>
          <w:szCs w:val="22"/>
          <w:lang w:val="is-IS"/>
        </w:rPr>
        <w:t>ekki eins áberandi</w:t>
      </w:r>
      <w:r>
        <w:rPr>
          <w:szCs w:val="22"/>
          <w:lang w:val="is-IS"/>
        </w:rPr>
        <w:t xml:space="preserve">. </w:t>
      </w:r>
    </w:p>
    <w:p w14:paraId="33D07DF1" w14:textId="59F9051C" w:rsidR="00523599" w:rsidRDefault="00523599" w:rsidP="006868A9">
      <w:pPr>
        <w:pStyle w:val="Heading2"/>
        <w:rPr>
          <w:lang w:val="is-IS"/>
        </w:rPr>
      </w:pPr>
      <w:bookmarkStart w:id="20" w:name="_Toc52974025"/>
      <w:r w:rsidRPr="00F01789">
        <w:rPr>
          <w:lang w:val="is-IS"/>
        </w:rPr>
        <w:t>Er íslenskum slitlögum hætt við skriði?</w:t>
      </w:r>
      <w:bookmarkEnd w:id="20"/>
      <w:r w:rsidRPr="00F01789">
        <w:rPr>
          <w:lang w:val="is-IS"/>
        </w:rPr>
        <w:t xml:space="preserve"> </w:t>
      </w:r>
    </w:p>
    <w:p w14:paraId="4145EDCC" w14:textId="4D40232C" w:rsidR="00C76605" w:rsidRPr="00C76605" w:rsidRDefault="00A15634" w:rsidP="00C76605">
      <w:pPr>
        <w:rPr>
          <w:lang w:val="is-IS"/>
        </w:rPr>
      </w:pPr>
      <w:r>
        <w:rPr>
          <w:lang w:val="is-IS"/>
        </w:rPr>
        <w:t xml:space="preserve">Samkvæmt rannsóknum á skriði í </w:t>
      </w:r>
      <w:r w:rsidR="00C80309">
        <w:rPr>
          <w:lang w:val="is-IS"/>
        </w:rPr>
        <w:t>íslensku malbiki á undanförnum árum er</w:t>
      </w:r>
      <w:r w:rsidR="00EC64FE">
        <w:rPr>
          <w:lang w:val="is-IS"/>
        </w:rPr>
        <w:t xml:space="preserve"> talið að skrið geti verið á bilinu </w:t>
      </w:r>
      <w:r w:rsidR="00A14735">
        <w:rPr>
          <w:lang w:val="is-IS"/>
        </w:rPr>
        <w:t xml:space="preserve">25-35% af heildarhjólfaramyndun </w:t>
      </w:r>
      <w:r w:rsidR="007D5AF1">
        <w:rPr>
          <w:lang w:val="is-IS"/>
        </w:rPr>
        <w:t>þar sem umferð er mikil og þung.</w:t>
      </w:r>
    </w:p>
    <w:p w14:paraId="33D07DF5" w14:textId="77777777" w:rsidR="00523599" w:rsidRPr="00F01789" w:rsidRDefault="00523599" w:rsidP="006868A9">
      <w:pPr>
        <w:pStyle w:val="Heading2"/>
        <w:rPr>
          <w:lang w:val="is-IS"/>
        </w:rPr>
      </w:pPr>
      <w:bookmarkStart w:id="21" w:name="_Toc52974026"/>
      <w:r w:rsidRPr="00F01789">
        <w:rPr>
          <w:lang w:val="is-IS"/>
        </w:rPr>
        <w:t>Ráðstafanir til að minnka skrið</w:t>
      </w:r>
      <w:bookmarkEnd w:id="21"/>
      <w:r w:rsidRPr="00F01789">
        <w:rPr>
          <w:lang w:val="is-IS"/>
        </w:rPr>
        <w:t xml:space="preserve"> </w:t>
      </w:r>
    </w:p>
    <w:p w14:paraId="33D07DF6" w14:textId="77777777" w:rsidR="00523599" w:rsidRPr="002F51FB" w:rsidRDefault="00523599" w:rsidP="001044F8">
      <w:pPr>
        <w:jc w:val="both"/>
        <w:rPr>
          <w:szCs w:val="22"/>
          <w:lang w:val="is-IS"/>
        </w:rPr>
      </w:pPr>
      <w:r w:rsidRPr="002F51FB">
        <w:rPr>
          <w:szCs w:val="22"/>
          <w:lang w:val="is-IS"/>
        </w:rPr>
        <w:t xml:space="preserve">Fyrst af öllu þarf að gera mælingar til að ganga úr skugga um hvort skrið á sér stað í íslenskum slitlögum og, ef svo er, hvort það er svo mikið að það skipti máli fyrir endingu þeirra. Í þessu sambandi þarf einnig að hafa í huga að ráðstafanir sem eiga að draga úr skriði geta haft aðra fylgifiska sem eru neikvæðir fyrir endingu malbiksins. </w:t>
      </w:r>
    </w:p>
    <w:p w14:paraId="33D07DF7" w14:textId="4ACADC8D" w:rsidR="00523599" w:rsidRPr="002F51FB" w:rsidRDefault="00523599" w:rsidP="00523599">
      <w:pPr>
        <w:ind w:firstLine="342"/>
        <w:jc w:val="both"/>
        <w:rPr>
          <w:szCs w:val="22"/>
          <w:lang w:val="is-IS"/>
        </w:rPr>
      </w:pPr>
      <w:r w:rsidRPr="002F51FB">
        <w:rPr>
          <w:szCs w:val="22"/>
          <w:lang w:val="is-IS"/>
        </w:rPr>
        <w:lastRenderedPageBreak/>
        <w:t>Aukin holrýmd í malbiki dregur úr líkum á skriði, þó aðeins upp að vissu marki. Hérlendis hefur tíðkast að halda holrýmd niðri eins og kostur er</w:t>
      </w:r>
      <w:r w:rsidR="00D6101F">
        <w:rPr>
          <w:szCs w:val="22"/>
          <w:lang w:val="is-IS"/>
        </w:rPr>
        <w:t>, en þó innan marka sem gefin eru upp í Efnisgæðaritinu. Lág holrýmd getur</w:t>
      </w:r>
      <w:r w:rsidRPr="002F51FB">
        <w:rPr>
          <w:szCs w:val="22"/>
          <w:lang w:val="is-IS"/>
        </w:rPr>
        <w:t xml:space="preserve"> aukið hættu á skriði, en hversu mikið er óvíst.  </w:t>
      </w:r>
    </w:p>
    <w:p w14:paraId="33D07DF8" w14:textId="0DF03C50" w:rsidR="00523599" w:rsidRPr="002F51FB" w:rsidRDefault="00523599" w:rsidP="00523599">
      <w:pPr>
        <w:ind w:firstLine="342"/>
        <w:jc w:val="both"/>
        <w:rPr>
          <w:szCs w:val="22"/>
          <w:lang w:val="is-IS"/>
        </w:rPr>
      </w:pPr>
      <w:r w:rsidRPr="002F51FB">
        <w:rPr>
          <w:szCs w:val="22"/>
          <w:lang w:val="is-IS"/>
        </w:rPr>
        <w:t>Har</w:t>
      </w:r>
      <w:r>
        <w:rPr>
          <w:szCs w:val="22"/>
          <w:lang w:val="is-IS"/>
        </w:rPr>
        <w:t>t</w:t>
      </w:r>
      <w:r w:rsidRPr="002F51FB">
        <w:rPr>
          <w:szCs w:val="22"/>
          <w:lang w:val="is-IS"/>
        </w:rPr>
        <w:t xml:space="preserve"> bindiefni dregur einnig úr líkum á skriði, því harðara sem bindiefnið er</w:t>
      </w:r>
      <w:r>
        <w:rPr>
          <w:szCs w:val="22"/>
          <w:lang w:val="is-IS"/>
        </w:rPr>
        <w:t>,</w:t>
      </w:r>
      <w:r w:rsidRPr="002F51FB">
        <w:rPr>
          <w:szCs w:val="22"/>
          <w:lang w:val="is-IS"/>
        </w:rPr>
        <w:t xml:space="preserve"> þeim mun meiri sumarhita þolir malbikið án þess að skríða. Hérlendis </w:t>
      </w:r>
      <w:r w:rsidR="00D6101F">
        <w:rPr>
          <w:szCs w:val="22"/>
          <w:lang w:val="is-IS"/>
        </w:rPr>
        <w:t>var</w:t>
      </w:r>
      <w:r w:rsidR="00D6101F" w:rsidRPr="002F51FB">
        <w:rPr>
          <w:szCs w:val="22"/>
          <w:lang w:val="is-IS"/>
        </w:rPr>
        <w:t xml:space="preserve"> </w:t>
      </w:r>
      <w:r w:rsidRPr="002F51FB">
        <w:rPr>
          <w:szCs w:val="22"/>
          <w:lang w:val="is-IS"/>
        </w:rPr>
        <w:t xml:space="preserve">yfirleitt notað fremur mjúkt </w:t>
      </w:r>
      <w:r w:rsidR="00D6101F">
        <w:rPr>
          <w:szCs w:val="22"/>
          <w:lang w:val="is-IS"/>
        </w:rPr>
        <w:t>bik</w:t>
      </w:r>
      <w:r w:rsidR="00D6101F" w:rsidRPr="002F51FB">
        <w:rPr>
          <w:szCs w:val="22"/>
          <w:lang w:val="is-IS"/>
        </w:rPr>
        <w:t xml:space="preserve"> </w:t>
      </w:r>
      <w:r w:rsidRPr="002F51FB">
        <w:rPr>
          <w:szCs w:val="22"/>
          <w:lang w:val="is-IS"/>
        </w:rPr>
        <w:t>(</w:t>
      </w:r>
      <w:r w:rsidR="00D6101F">
        <w:rPr>
          <w:szCs w:val="22"/>
          <w:lang w:val="is-IS"/>
        </w:rPr>
        <w:t xml:space="preserve">PG </w:t>
      </w:r>
      <w:r w:rsidRPr="002F51FB">
        <w:rPr>
          <w:szCs w:val="22"/>
          <w:lang w:val="is-IS"/>
        </w:rPr>
        <w:t>1</w:t>
      </w:r>
      <w:r w:rsidR="00D6101F">
        <w:rPr>
          <w:szCs w:val="22"/>
          <w:lang w:val="is-IS"/>
        </w:rPr>
        <w:t>6</w:t>
      </w:r>
      <w:r w:rsidRPr="002F51FB">
        <w:rPr>
          <w:szCs w:val="22"/>
          <w:lang w:val="is-IS"/>
        </w:rPr>
        <w:t>0/220) í malbik</w:t>
      </w:r>
      <w:r w:rsidR="00D6101F">
        <w:rPr>
          <w:szCs w:val="22"/>
          <w:lang w:val="is-IS"/>
        </w:rPr>
        <w:t xml:space="preserve"> á árum áður, en notkun á harðara biki </w:t>
      </w:r>
      <w:r w:rsidR="001E6438">
        <w:rPr>
          <w:szCs w:val="22"/>
          <w:lang w:val="is-IS"/>
        </w:rPr>
        <w:t>(</w:t>
      </w:r>
      <w:r w:rsidR="00D6101F">
        <w:rPr>
          <w:szCs w:val="22"/>
          <w:lang w:val="is-IS"/>
        </w:rPr>
        <w:t>PG 70/100</w:t>
      </w:r>
      <w:r w:rsidR="001E6438">
        <w:rPr>
          <w:szCs w:val="22"/>
          <w:lang w:val="is-IS"/>
        </w:rPr>
        <w:t>)</w:t>
      </w:r>
      <w:r w:rsidR="00D6101F">
        <w:rPr>
          <w:szCs w:val="22"/>
          <w:lang w:val="is-IS"/>
        </w:rPr>
        <w:t xml:space="preserve"> hefur aukist mikið þar sem umferð er mikil og þung til að sporna gegn skriði</w:t>
      </w:r>
      <w:r w:rsidRPr="002F51FB">
        <w:rPr>
          <w:szCs w:val="22"/>
          <w:lang w:val="is-IS"/>
        </w:rPr>
        <w:t xml:space="preserve">. </w:t>
      </w:r>
      <w:r>
        <w:rPr>
          <w:szCs w:val="22"/>
          <w:lang w:val="is-IS"/>
        </w:rPr>
        <w:t xml:space="preserve">Breytt bindiefni </w:t>
      </w:r>
      <w:r w:rsidR="00D6101F">
        <w:rPr>
          <w:szCs w:val="22"/>
          <w:lang w:val="is-IS"/>
        </w:rPr>
        <w:t xml:space="preserve">(e. modified bitumen) </w:t>
      </w:r>
      <w:r>
        <w:rPr>
          <w:szCs w:val="22"/>
          <w:lang w:val="is-IS"/>
        </w:rPr>
        <w:t>hefur svipuð áhrif eins og að nota harðara bindiefni.</w:t>
      </w:r>
    </w:p>
    <w:p w14:paraId="33D07DF9" w14:textId="77777777" w:rsidR="00523599" w:rsidRDefault="00523599" w:rsidP="00523599">
      <w:pPr>
        <w:ind w:firstLine="342"/>
        <w:jc w:val="both"/>
        <w:rPr>
          <w:szCs w:val="22"/>
          <w:lang w:val="is-IS"/>
        </w:rPr>
      </w:pPr>
      <w:r w:rsidRPr="002F51FB">
        <w:rPr>
          <w:szCs w:val="22"/>
          <w:lang w:val="is-IS"/>
        </w:rPr>
        <w:t xml:space="preserve">Kornalögun og yfirborðsáferð steinefnis hefur áhrif á skrið. </w:t>
      </w:r>
      <w:r>
        <w:rPr>
          <w:szCs w:val="22"/>
          <w:lang w:val="is-IS"/>
        </w:rPr>
        <w:t xml:space="preserve">„Angularity“ er jákvæður eiginleiki. </w:t>
      </w:r>
      <w:r w:rsidRPr="002F51FB">
        <w:rPr>
          <w:szCs w:val="22"/>
          <w:lang w:val="is-IS"/>
        </w:rPr>
        <w:t>Hátt brothlutfall (hlutfall</w:t>
      </w:r>
      <w:r>
        <w:rPr>
          <w:szCs w:val="22"/>
          <w:lang w:val="is-IS"/>
        </w:rPr>
        <w:t xml:space="preserve"> brotflata af heildaryfirborði steinefnis) </w:t>
      </w:r>
      <w:r w:rsidRPr="002F51FB">
        <w:rPr>
          <w:szCs w:val="22"/>
          <w:lang w:val="is-IS"/>
        </w:rPr>
        <w:t>dregur úr líkum á skriði</w:t>
      </w:r>
      <w:r>
        <w:rPr>
          <w:szCs w:val="22"/>
          <w:lang w:val="is-IS"/>
        </w:rPr>
        <w:t>;</w:t>
      </w:r>
      <w:r w:rsidRPr="002F51FB">
        <w:rPr>
          <w:szCs w:val="22"/>
          <w:lang w:val="is-IS"/>
        </w:rPr>
        <w:t xml:space="preserve"> núið efni hefur öfug áhrif.</w:t>
      </w:r>
      <w:r>
        <w:rPr>
          <w:szCs w:val="22"/>
          <w:lang w:val="is-IS"/>
        </w:rPr>
        <w:t xml:space="preserve"> </w:t>
      </w:r>
    </w:p>
    <w:p w14:paraId="33D07DFA" w14:textId="77777777" w:rsidR="00523599" w:rsidRPr="002F51FB" w:rsidRDefault="00523599" w:rsidP="00523599">
      <w:pPr>
        <w:ind w:firstLine="342"/>
        <w:jc w:val="both"/>
        <w:rPr>
          <w:szCs w:val="22"/>
          <w:lang w:val="is-IS"/>
        </w:rPr>
      </w:pPr>
      <w:r>
        <w:rPr>
          <w:szCs w:val="22"/>
          <w:lang w:val="is-IS"/>
        </w:rPr>
        <w:t>Ef umferð er mikil og þung er heppilegra að sáldurferill malbiksins sé nær neðri hönnunar</w:t>
      </w:r>
      <w:r>
        <w:rPr>
          <w:szCs w:val="22"/>
          <w:lang w:val="is-IS"/>
        </w:rPr>
        <w:softHyphen/>
        <w:t xml:space="preserve">mörkum en þeim efri, því gróft steinefni hefur að öðru jöfnu meiri mótstöðu gegn skriði en fíngert. </w:t>
      </w:r>
    </w:p>
    <w:p w14:paraId="33D07DFB" w14:textId="77777777" w:rsidR="00523599" w:rsidRDefault="00523599" w:rsidP="00523599">
      <w:pPr>
        <w:ind w:firstLine="342"/>
        <w:jc w:val="both"/>
        <w:rPr>
          <w:szCs w:val="22"/>
          <w:lang w:val="is-IS"/>
        </w:rPr>
      </w:pPr>
      <w:r w:rsidRPr="002F51FB">
        <w:rPr>
          <w:szCs w:val="22"/>
          <w:lang w:val="is-IS"/>
        </w:rPr>
        <w:t>Hátt hlutfall mélu dregur úr líkum á skriði, því malbikið verður stífara með auknu méluinnihaldi. Háu méluinnihaldi eru þó settar skorður, oft með því að tiltaka hámarkshlutfall mélu og bindiefnis. Annars er hætta á að malbikið þjappist illa og þoli síður hreyfingar í undirbyggingu án þess að springa (verði stökkt).</w:t>
      </w:r>
    </w:p>
    <w:p w14:paraId="33D07DFC" w14:textId="77777777" w:rsidR="00523599" w:rsidRDefault="00523599" w:rsidP="00523599">
      <w:pPr>
        <w:ind w:firstLine="342"/>
        <w:jc w:val="both"/>
        <w:rPr>
          <w:szCs w:val="22"/>
          <w:lang w:val="is-IS"/>
        </w:rPr>
      </w:pPr>
      <w:r>
        <w:rPr>
          <w:szCs w:val="22"/>
          <w:lang w:val="is-IS"/>
        </w:rPr>
        <w:t>Líkur á skriði</w:t>
      </w:r>
      <w:r w:rsidR="009F6594">
        <w:rPr>
          <w:szCs w:val="22"/>
          <w:lang w:val="is-IS"/>
        </w:rPr>
        <w:t xml:space="preserve"> og/eða eftirþjöppun</w:t>
      </w:r>
      <w:r>
        <w:rPr>
          <w:szCs w:val="22"/>
          <w:lang w:val="is-IS"/>
        </w:rPr>
        <w:t xml:space="preserve"> eru taldar minnka með aukinni þjöppun, að öðru óbreyttu. </w:t>
      </w:r>
    </w:p>
    <w:p w14:paraId="33D07DFD" w14:textId="77777777" w:rsidR="00523599" w:rsidRPr="002F51FB" w:rsidRDefault="00523599" w:rsidP="00523599">
      <w:pPr>
        <w:ind w:firstLine="342"/>
        <w:jc w:val="both"/>
        <w:rPr>
          <w:szCs w:val="22"/>
          <w:lang w:val="is-IS"/>
        </w:rPr>
      </w:pPr>
      <w:r>
        <w:rPr>
          <w:szCs w:val="22"/>
          <w:lang w:val="is-IS"/>
        </w:rPr>
        <w:t>Malbik með of</w:t>
      </w:r>
      <w:r w:rsidRPr="00880EE3">
        <w:rPr>
          <w:szCs w:val="22"/>
          <w:lang w:val="is-IS"/>
        </w:rPr>
        <w:t xml:space="preserve"> </w:t>
      </w:r>
      <w:r>
        <w:rPr>
          <w:szCs w:val="22"/>
          <w:lang w:val="is-IS"/>
        </w:rPr>
        <w:t>miklu bindiefni hættir til að skríða. Á hinn bóginn hættir malbiki með of litlu bindiefni til að skemmast af völdum vatns og veðurs, svo þarna þarf að fara bil beggja. Reyndur ráðgjafi, Charles Foster, orðar ráðleggingu sína þannig: „...put in all the asphalt the traffic will bear but not to</w:t>
      </w:r>
      <w:r w:rsidR="00205F90">
        <w:rPr>
          <w:szCs w:val="22"/>
          <w:lang w:val="is-IS"/>
        </w:rPr>
        <w:t>o much“ [Foster 1985, bls. 305]</w:t>
      </w:r>
      <w:r>
        <w:rPr>
          <w:szCs w:val="22"/>
          <w:lang w:val="is-IS"/>
        </w:rPr>
        <w:t>.</w:t>
      </w:r>
    </w:p>
    <w:p w14:paraId="33D07DFF" w14:textId="53DD9843" w:rsidR="001044F8" w:rsidRDefault="00523599" w:rsidP="00D14E7C">
      <w:pPr>
        <w:ind w:firstLine="342"/>
        <w:jc w:val="both"/>
        <w:rPr>
          <w:szCs w:val="22"/>
          <w:lang w:val="is-IS"/>
        </w:rPr>
      </w:pPr>
      <w:r>
        <w:rPr>
          <w:szCs w:val="22"/>
          <w:lang w:val="is-IS"/>
        </w:rPr>
        <w:t xml:space="preserve">Festa í Marshallprófi er talin vera mælikvarði á það sem kallað er styrkleiki malbiksins, sem væntanlega má túlka sem mótstöðu gegn skriði og </w:t>
      </w:r>
      <w:r w:rsidRPr="002F51FB">
        <w:rPr>
          <w:szCs w:val="22"/>
          <w:lang w:val="is-IS"/>
        </w:rPr>
        <w:t xml:space="preserve">sig </w:t>
      </w:r>
      <w:r>
        <w:rPr>
          <w:szCs w:val="22"/>
          <w:lang w:val="is-IS"/>
        </w:rPr>
        <w:t xml:space="preserve">í sama prófi </w:t>
      </w:r>
      <w:r w:rsidRPr="002F51FB">
        <w:rPr>
          <w:szCs w:val="22"/>
          <w:lang w:val="is-IS"/>
        </w:rPr>
        <w:t>er tengt við hættu á skriði</w:t>
      </w:r>
      <w:r>
        <w:rPr>
          <w:szCs w:val="22"/>
          <w:lang w:val="is-IS"/>
        </w:rPr>
        <w:t xml:space="preserve"> [White 1985, bls. 278-279].</w:t>
      </w:r>
      <w:r w:rsidRPr="002F51FB">
        <w:rPr>
          <w:szCs w:val="22"/>
          <w:lang w:val="is-IS"/>
        </w:rPr>
        <w:t xml:space="preserve"> </w:t>
      </w:r>
      <w:r>
        <w:rPr>
          <w:szCs w:val="22"/>
          <w:lang w:val="is-IS"/>
        </w:rPr>
        <w:t xml:space="preserve">Í handbók um hönnun malbiks með Marshallaðferðinni er lögð áhersla á að uppfylla kröfur um festu og sig [Asphalt Institute 1989, bls. 146] nema því aðeins að tryggt sé að frávikin séu saklaus. Þetta bendir til að skriði megi halda í skefjum með því að uppfylla viðhlítandi kröfur um festu og sig. </w:t>
      </w:r>
      <w:r w:rsidRPr="002F51FB">
        <w:rPr>
          <w:szCs w:val="22"/>
          <w:lang w:val="is-IS"/>
        </w:rPr>
        <w:t xml:space="preserve">Um </w:t>
      </w:r>
      <w:r>
        <w:rPr>
          <w:szCs w:val="22"/>
          <w:lang w:val="is-IS"/>
        </w:rPr>
        <w:t xml:space="preserve">gildi Marshallsprófs til að meta líkur á skriði </w:t>
      </w:r>
      <w:r w:rsidRPr="002F51FB">
        <w:rPr>
          <w:szCs w:val="22"/>
          <w:lang w:val="is-IS"/>
        </w:rPr>
        <w:t>er þó ágreiningur og hefur lengi verið</w:t>
      </w:r>
      <w:r>
        <w:rPr>
          <w:szCs w:val="22"/>
          <w:lang w:val="is-IS"/>
        </w:rPr>
        <w:t xml:space="preserve"> og aðrar hönnunaraðferðir (m.a. Superpave) hafa verið teknar í notkun í sumum löndum.</w:t>
      </w:r>
    </w:p>
    <w:p w14:paraId="33D07E00" w14:textId="77777777" w:rsidR="00523599" w:rsidRPr="00F01789" w:rsidRDefault="00523599" w:rsidP="006868A9">
      <w:pPr>
        <w:pStyle w:val="Heading2"/>
        <w:rPr>
          <w:lang w:val="is-IS"/>
        </w:rPr>
      </w:pPr>
      <w:bookmarkStart w:id="22" w:name="_Toc52974027"/>
      <w:r w:rsidRPr="00F01789">
        <w:rPr>
          <w:lang w:val="is-IS"/>
        </w:rPr>
        <w:t>Ályktanir</w:t>
      </w:r>
      <w:bookmarkEnd w:id="22"/>
      <w:r w:rsidRPr="00F01789">
        <w:rPr>
          <w:lang w:val="is-IS"/>
        </w:rPr>
        <w:t xml:space="preserve"> </w:t>
      </w:r>
    </w:p>
    <w:p w14:paraId="33D07E02" w14:textId="37836D76" w:rsidR="00523599" w:rsidRPr="00D14E7C" w:rsidRDefault="00523599" w:rsidP="00D14E7C">
      <w:pPr>
        <w:jc w:val="both"/>
        <w:rPr>
          <w:szCs w:val="22"/>
          <w:lang w:val="is-IS"/>
        </w:rPr>
      </w:pPr>
      <w:r>
        <w:rPr>
          <w:szCs w:val="22"/>
          <w:lang w:val="is-IS"/>
        </w:rPr>
        <w:t xml:space="preserve">Af þeim upplýsingum sem liggja fyrir er engan veginn á hreinu </w:t>
      </w:r>
      <w:r w:rsidRPr="007143C1">
        <w:rPr>
          <w:szCs w:val="22"/>
          <w:lang w:val="is-IS"/>
        </w:rPr>
        <w:t>hvort og hversu mikið skrið er í íslensku malbiki</w:t>
      </w:r>
      <w:r>
        <w:rPr>
          <w:szCs w:val="22"/>
          <w:lang w:val="is-IS"/>
        </w:rPr>
        <w:t>, þótt líkur bendi miklu fremur til að það sé lítið en mikið. T</w:t>
      </w:r>
      <w:r w:rsidRPr="007143C1">
        <w:rPr>
          <w:szCs w:val="22"/>
          <w:lang w:val="is-IS"/>
        </w:rPr>
        <w:t xml:space="preserve">il að komast </w:t>
      </w:r>
      <w:r>
        <w:rPr>
          <w:szCs w:val="22"/>
          <w:lang w:val="is-IS"/>
        </w:rPr>
        <w:t>að hinu sanna</w:t>
      </w:r>
      <w:r w:rsidRPr="007143C1">
        <w:rPr>
          <w:szCs w:val="22"/>
          <w:lang w:val="is-IS"/>
        </w:rPr>
        <w:t xml:space="preserve"> þarf kerfisbundnar mælingar á skriði</w:t>
      </w:r>
      <w:r>
        <w:rPr>
          <w:szCs w:val="22"/>
          <w:lang w:val="is-IS"/>
        </w:rPr>
        <w:t>, líklega</w:t>
      </w:r>
      <w:r w:rsidRPr="007143C1">
        <w:rPr>
          <w:szCs w:val="22"/>
          <w:lang w:val="is-IS"/>
        </w:rPr>
        <w:t xml:space="preserve"> um nokkurra ára skeið. </w:t>
      </w:r>
      <w:r>
        <w:rPr>
          <w:szCs w:val="22"/>
          <w:lang w:val="is-IS"/>
        </w:rPr>
        <w:t xml:space="preserve">Þá fyrst er tímabært að meta hvort einhverjar gagnráðstafanir eru nauðsynlegar og hverjar henti best. Óraunhæfar kröfur um lágt sig eða hækkaða holrýmd til að draga úr skriði geta haft eftirköst sem koma niður á endingu malbiksins, sérstaklega í slitlögum, og verði kröfunum breytt frá því sem nú er, verður að gæta þess að </w:t>
      </w:r>
      <w:r w:rsidRPr="007143C1">
        <w:rPr>
          <w:szCs w:val="22"/>
          <w:lang w:val="is-IS"/>
        </w:rPr>
        <w:t xml:space="preserve">fórna </w:t>
      </w:r>
      <w:r>
        <w:rPr>
          <w:szCs w:val="22"/>
          <w:lang w:val="is-IS"/>
        </w:rPr>
        <w:t xml:space="preserve">ekki </w:t>
      </w:r>
      <w:r w:rsidRPr="007143C1">
        <w:rPr>
          <w:szCs w:val="22"/>
          <w:lang w:val="is-IS"/>
        </w:rPr>
        <w:t>minni hagsmunum fyrir meiri</w:t>
      </w:r>
      <w:r>
        <w:rPr>
          <w:szCs w:val="22"/>
          <w:lang w:val="is-IS"/>
        </w:rPr>
        <w:t>.</w:t>
      </w:r>
      <w:r w:rsidRPr="007143C1">
        <w:rPr>
          <w:szCs w:val="22"/>
          <w:lang w:val="is-IS"/>
        </w:rPr>
        <w:t xml:space="preserve"> </w:t>
      </w:r>
    </w:p>
    <w:p w14:paraId="33D07E03" w14:textId="77777777" w:rsidR="001044F8" w:rsidRDefault="001044F8" w:rsidP="00523599">
      <w:pPr>
        <w:jc w:val="center"/>
        <w:rPr>
          <w:lang w:val="is-IS"/>
        </w:rPr>
      </w:pPr>
    </w:p>
    <w:p w14:paraId="33D07E04" w14:textId="77777777" w:rsidR="00523599" w:rsidRPr="00A57EF7" w:rsidRDefault="00523599" w:rsidP="00A57EF7">
      <w:pPr>
        <w:spacing w:after="60"/>
        <w:rPr>
          <w:b/>
          <w:sz w:val="24"/>
          <w:szCs w:val="24"/>
          <w:lang w:val="is-IS"/>
        </w:rPr>
      </w:pPr>
      <w:r w:rsidRPr="00A57EF7">
        <w:rPr>
          <w:b/>
          <w:sz w:val="24"/>
          <w:szCs w:val="24"/>
          <w:lang w:val="is-IS"/>
        </w:rPr>
        <w:t>HEIMILDIR</w:t>
      </w:r>
    </w:p>
    <w:p w14:paraId="33D07E05" w14:textId="77777777" w:rsidR="00523599" w:rsidRDefault="00523599" w:rsidP="00523599">
      <w:pPr>
        <w:ind w:left="340" w:hanging="340"/>
        <w:jc w:val="both"/>
        <w:rPr>
          <w:szCs w:val="22"/>
          <w:lang w:val="is-IS"/>
        </w:rPr>
      </w:pPr>
      <w:r>
        <w:rPr>
          <w:lang w:val="is-IS"/>
        </w:rPr>
        <w:t xml:space="preserve">Asphalt Institute. 1989. </w:t>
      </w:r>
      <w:r>
        <w:rPr>
          <w:i/>
          <w:szCs w:val="22"/>
          <w:lang w:val="is-IS"/>
        </w:rPr>
        <w:t xml:space="preserve">The Asphalt Handbook. </w:t>
      </w:r>
      <w:r w:rsidRPr="00F91D79">
        <w:rPr>
          <w:szCs w:val="22"/>
          <w:lang w:val="is-IS"/>
        </w:rPr>
        <w:t>Manual</w:t>
      </w:r>
      <w:r>
        <w:rPr>
          <w:szCs w:val="22"/>
          <w:lang w:val="is-IS"/>
        </w:rPr>
        <w:t xml:space="preserve"> Series No. 4 (MS-4). 1989 Edition, Asphalt Institute, Lexington.</w:t>
      </w:r>
    </w:p>
    <w:p w14:paraId="33D07E06" w14:textId="77777777" w:rsidR="00523599" w:rsidRDefault="00523599" w:rsidP="00523599">
      <w:pPr>
        <w:ind w:left="340" w:hanging="340"/>
        <w:jc w:val="both"/>
        <w:rPr>
          <w:lang w:val="is-IS"/>
        </w:rPr>
      </w:pPr>
      <w:r>
        <w:rPr>
          <w:lang w:val="is-IS"/>
        </w:rPr>
        <w:t xml:space="preserve">Ásbjörn Jóhannesson, Sigursteinn Hjartarson, Valur Guðmundsson. 1998. </w:t>
      </w:r>
      <w:r w:rsidRPr="00817806">
        <w:rPr>
          <w:i/>
          <w:lang w:val="is-IS"/>
        </w:rPr>
        <w:t>Hjólfara</w:t>
      </w:r>
      <w:r w:rsidRPr="00817806">
        <w:rPr>
          <w:i/>
          <w:lang w:val="is-IS"/>
        </w:rPr>
        <w:softHyphen/>
        <w:t>myndun í malbiki að sumarlagi – lokaskýrsla.</w:t>
      </w:r>
      <w:r>
        <w:rPr>
          <w:lang w:val="is-IS"/>
        </w:rPr>
        <w:t xml:space="preserve"> BUSL – Slitlaganefnd. Skýrsla S-5, Reykjavík.</w:t>
      </w:r>
    </w:p>
    <w:p w14:paraId="33D07E07" w14:textId="77777777" w:rsidR="00523599" w:rsidRDefault="00523599" w:rsidP="00523599">
      <w:pPr>
        <w:ind w:left="340" w:hanging="340"/>
        <w:jc w:val="both"/>
        <w:rPr>
          <w:lang w:val="is-IS"/>
        </w:rPr>
      </w:pPr>
      <w:r>
        <w:rPr>
          <w:lang w:val="is-IS"/>
        </w:rPr>
        <w:t xml:space="preserve">Ásbjörn Jóhannesson, Sigursteinn Hjartarson, Valur Guðmundsson. 2000. </w:t>
      </w:r>
      <w:r w:rsidRPr="00817806">
        <w:rPr>
          <w:i/>
          <w:lang w:val="is-IS"/>
        </w:rPr>
        <w:t>Tilraunakaflar Steinefnanefndar á Sæbraut – lokaskýrsla.</w:t>
      </w:r>
      <w:r>
        <w:rPr>
          <w:lang w:val="is-IS"/>
        </w:rPr>
        <w:t xml:space="preserve"> BUSL – Slitlaganefnd. Skýrsla S-15, Reykjavík.</w:t>
      </w:r>
    </w:p>
    <w:p w14:paraId="33D07E08" w14:textId="77777777" w:rsidR="00523599" w:rsidRDefault="00523599" w:rsidP="00523599">
      <w:pPr>
        <w:ind w:left="340" w:hanging="340"/>
        <w:jc w:val="both"/>
        <w:rPr>
          <w:szCs w:val="22"/>
          <w:lang w:val="is-IS"/>
        </w:rPr>
      </w:pPr>
      <w:r>
        <w:rPr>
          <w:szCs w:val="22"/>
          <w:lang w:val="is-IS"/>
        </w:rPr>
        <w:t xml:space="preserve">Ásbjörn Jóhannesson. 2005. </w:t>
      </w:r>
      <w:r w:rsidRPr="005F70B2">
        <w:rPr>
          <w:i/>
          <w:szCs w:val="22"/>
          <w:lang w:val="is-IS"/>
        </w:rPr>
        <w:t>Superpave.</w:t>
      </w:r>
      <w:r>
        <w:rPr>
          <w:szCs w:val="22"/>
          <w:lang w:val="is-IS"/>
        </w:rPr>
        <w:t xml:space="preserve"> Unnið fyrir Rannsókna- og þróunarsjóð Vegagerðar</w:t>
      </w:r>
      <w:r>
        <w:rPr>
          <w:szCs w:val="22"/>
          <w:lang w:val="is-IS"/>
        </w:rPr>
        <w:softHyphen/>
        <w:t>innar. Rannsóknastofnun byggingariðnaðarins, skýrsla nr. 05-04. Reykjavík.</w:t>
      </w:r>
    </w:p>
    <w:p w14:paraId="33D07E09" w14:textId="77777777" w:rsidR="00523599" w:rsidRDefault="00523599" w:rsidP="00523599">
      <w:pPr>
        <w:ind w:left="340" w:hanging="340"/>
        <w:jc w:val="both"/>
        <w:rPr>
          <w:lang w:val="is-IS"/>
        </w:rPr>
      </w:pPr>
      <w:r>
        <w:rPr>
          <w:lang w:val="is-IS"/>
        </w:rPr>
        <w:t xml:space="preserve">Bergþóra Kristinsdóttir. 1999. </w:t>
      </w:r>
      <w:r w:rsidRPr="00817806">
        <w:rPr>
          <w:i/>
          <w:lang w:val="is-IS"/>
        </w:rPr>
        <w:t>Íslenskt malbik – ákvörðun aflfræðilegra eiginleika.</w:t>
      </w:r>
      <w:r>
        <w:rPr>
          <w:lang w:val="is-IS"/>
        </w:rPr>
        <w:t xml:space="preserve"> Meistaraverkefni. </w:t>
      </w:r>
      <w:r w:rsidR="00205F90">
        <w:rPr>
          <w:lang w:val="is-IS"/>
        </w:rPr>
        <w:t xml:space="preserve">Umhverfis- og byggingaverkfræðiskor. </w:t>
      </w:r>
      <w:r>
        <w:rPr>
          <w:lang w:val="is-IS"/>
        </w:rPr>
        <w:t>Verkfræðideild Háskóla Íslands, Reykjavík.</w:t>
      </w:r>
    </w:p>
    <w:p w14:paraId="33D07E0A" w14:textId="77777777" w:rsidR="00523599" w:rsidRDefault="00523599" w:rsidP="00523599">
      <w:pPr>
        <w:ind w:left="340" w:hanging="340"/>
        <w:jc w:val="both"/>
        <w:rPr>
          <w:lang w:val="is-IS"/>
        </w:rPr>
      </w:pPr>
      <w:r>
        <w:rPr>
          <w:lang w:val="is-IS"/>
        </w:rPr>
        <w:lastRenderedPageBreak/>
        <w:t xml:space="preserve">Elísabet S. Urbancic. 1998. </w:t>
      </w:r>
      <w:r w:rsidRPr="00817806">
        <w:rPr>
          <w:i/>
          <w:lang w:val="is-IS"/>
        </w:rPr>
        <w:t>Aflfræðilegir eiginleikar íslensks slitlags – ákvörðun í tilraunastofu. MS – verkefni.</w:t>
      </w:r>
      <w:r>
        <w:rPr>
          <w:lang w:val="is-IS"/>
        </w:rPr>
        <w:t xml:space="preserve"> Háskóli Íslands</w:t>
      </w:r>
      <w:r w:rsidR="008C5975">
        <w:rPr>
          <w:lang w:val="is-IS"/>
        </w:rPr>
        <w:t>,</w:t>
      </w:r>
      <w:r>
        <w:rPr>
          <w:lang w:val="is-IS"/>
        </w:rPr>
        <w:t xml:space="preserve"> verkfræðideild, Reykjavík.</w:t>
      </w:r>
    </w:p>
    <w:p w14:paraId="33D07E0B" w14:textId="77777777" w:rsidR="00523599" w:rsidRDefault="00523599" w:rsidP="00523599">
      <w:pPr>
        <w:ind w:left="340" w:hanging="340"/>
        <w:jc w:val="both"/>
        <w:rPr>
          <w:lang w:val="is-IS"/>
        </w:rPr>
      </w:pPr>
      <w:r>
        <w:rPr>
          <w:lang w:val="is-IS"/>
        </w:rPr>
        <w:t xml:space="preserve">FAS. Án ártals. </w:t>
      </w:r>
      <w:r w:rsidRPr="00817806">
        <w:rPr>
          <w:i/>
          <w:lang w:val="is-IS"/>
        </w:rPr>
        <w:t xml:space="preserve">Asfaltbeläggning och –massa. Bestämning </w:t>
      </w:r>
      <w:r>
        <w:rPr>
          <w:i/>
          <w:lang w:val="is-IS"/>
        </w:rPr>
        <w:t xml:space="preserve">av </w:t>
      </w:r>
      <w:r w:rsidRPr="00817806">
        <w:rPr>
          <w:i/>
          <w:lang w:val="is-IS"/>
        </w:rPr>
        <w:t>deformationsresistens med dynamisk kryptest.</w:t>
      </w:r>
      <w:r>
        <w:rPr>
          <w:lang w:val="is-IS"/>
        </w:rPr>
        <w:t xml:space="preserve"> FAS Metod 468-00. Föreningen för Asfaltbeläggningar i Sverige, Stockholm. </w:t>
      </w:r>
    </w:p>
    <w:p w14:paraId="33D07E0C" w14:textId="77777777" w:rsidR="00523599" w:rsidRDefault="00523599" w:rsidP="00523599">
      <w:pPr>
        <w:ind w:left="340" w:hanging="340"/>
        <w:jc w:val="both"/>
        <w:rPr>
          <w:lang w:val="is-IS"/>
        </w:rPr>
      </w:pPr>
      <w:r>
        <w:rPr>
          <w:lang w:val="is-IS"/>
        </w:rPr>
        <w:t xml:space="preserve">Foster, Charles R. 1985. </w:t>
      </w:r>
      <w:r>
        <w:rPr>
          <w:i/>
          <w:lang w:val="is-IS"/>
        </w:rPr>
        <w:t>The Strength</w:t>
      </w:r>
      <w:r w:rsidRPr="00FD71D3">
        <w:rPr>
          <w:i/>
          <w:lang w:val="is-IS"/>
        </w:rPr>
        <w:t xml:space="preserve"> of Asphalt </w:t>
      </w:r>
      <w:r>
        <w:rPr>
          <w:i/>
          <w:lang w:val="is-IS"/>
        </w:rPr>
        <w:t>Pavements</w:t>
      </w:r>
      <w:r w:rsidRPr="00FD71D3">
        <w:rPr>
          <w:i/>
          <w:lang w:val="is-IS"/>
        </w:rPr>
        <w:t>.</w:t>
      </w:r>
      <w:r>
        <w:rPr>
          <w:lang w:val="is-IS"/>
        </w:rPr>
        <w:t xml:space="preserve"> Asphalt Paving Technology 1985. Proceedings. The Association of Asphalt Paving Technologists, Minneapolis.</w:t>
      </w:r>
    </w:p>
    <w:p w14:paraId="33D07E0D" w14:textId="77777777" w:rsidR="00523599" w:rsidRPr="00D230C0" w:rsidRDefault="00523599" w:rsidP="00523599">
      <w:pPr>
        <w:ind w:left="340" w:hanging="340"/>
        <w:jc w:val="both"/>
        <w:rPr>
          <w:lang w:val="is-IS"/>
        </w:rPr>
      </w:pPr>
      <w:r>
        <w:rPr>
          <w:lang w:val="is-IS"/>
        </w:rPr>
        <w:t xml:space="preserve">SHRP. 1995. </w:t>
      </w:r>
      <w:r w:rsidRPr="00D230C0">
        <w:rPr>
          <w:i/>
          <w:lang w:val="is-IS"/>
        </w:rPr>
        <w:t>SHRP Superpave Binder Selection Program: SHRPBIND, Version 2.1.</w:t>
      </w:r>
      <w:r>
        <w:rPr>
          <w:i/>
          <w:lang w:val="is-IS"/>
        </w:rPr>
        <w:t xml:space="preserve"> </w:t>
      </w:r>
      <w:r>
        <w:rPr>
          <w:lang w:val="is-IS"/>
        </w:rPr>
        <w:t>Developed for Federal Highway Administration, Pavement Performance Division, Virginia, USA.</w:t>
      </w:r>
    </w:p>
    <w:p w14:paraId="33D07E0E" w14:textId="77777777" w:rsidR="00523599" w:rsidRDefault="00523599" w:rsidP="00523599">
      <w:pPr>
        <w:ind w:left="340" w:hanging="340"/>
        <w:jc w:val="both"/>
        <w:rPr>
          <w:lang w:val="is-IS"/>
        </w:rPr>
      </w:pPr>
      <w:r>
        <w:rPr>
          <w:lang w:val="is-IS"/>
        </w:rPr>
        <w:t xml:space="preserve">Sigurður Erlingsson. 2001. </w:t>
      </w:r>
      <w:r w:rsidRPr="00817806">
        <w:rPr>
          <w:i/>
          <w:lang w:val="is-IS"/>
        </w:rPr>
        <w:t xml:space="preserve">Skoðun á hegðun slitlaga, lagfærðum með „Repave“ aðferð. </w:t>
      </w:r>
      <w:r>
        <w:rPr>
          <w:lang w:val="is-IS"/>
        </w:rPr>
        <w:t>Verkfræðistofnun Háskóla Íslands, Reykjavík.</w:t>
      </w:r>
    </w:p>
    <w:p w14:paraId="33D07E0F" w14:textId="35D1CC2F" w:rsidR="00523599" w:rsidRDefault="00523599" w:rsidP="00523599">
      <w:pPr>
        <w:ind w:left="340" w:hanging="340"/>
        <w:jc w:val="both"/>
        <w:rPr>
          <w:lang w:val="is-IS"/>
        </w:rPr>
      </w:pPr>
      <w:r>
        <w:rPr>
          <w:lang w:val="is-IS"/>
        </w:rPr>
        <w:t xml:space="preserve">Tayebali, Akhtarhusein A., Huang, Y. 2004. </w:t>
      </w:r>
      <w:r w:rsidRPr="00FE1623">
        <w:rPr>
          <w:i/>
          <w:lang w:val="is-IS"/>
        </w:rPr>
        <w:t>Performance Grading of Bitumen B-180 and B-85 Used in Iceland.</w:t>
      </w:r>
      <w:r>
        <w:rPr>
          <w:lang w:val="is-IS"/>
        </w:rPr>
        <w:t xml:space="preserve"> Final Report. Department of Civil Engineering, North Carolina State University, Raleigh.</w:t>
      </w:r>
    </w:p>
    <w:p w14:paraId="33D07E10" w14:textId="77777777" w:rsidR="00523599" w:rsidRDefault="00523599" w:rsidP="00523599">
      <w:pPr>
        <w:ind w:left="340" w:hanging="340"/>
        <w:jc w:val="both"/>
        <w:rPr>
          <w:lang w:val="is-IS"/>
        </w:rPr>
      </w:pPr>
      <w:r w:rsidRPr="007550EE">
        <w:rPr>
          <w:lang w:val="is-IS"/>
        </w:rPr>
        <w:t>Vägverket. 2000.</w:t>
      </w:r>
      <w:r w:rsidR="001F0FB6">
        <w:rPr>
          <w:lang w:val="is-IS"/>
        </w:rPr>
        <w:t xml:space="preserve"> </w:t>
      </w:r>
      <w:r w:rsidRPr="00832BFB">
        <w:rPr>
          <w:i/>
          <w:lang w:val="is-IS"/>
        </w:rPr>
        <w:t>Vägunderhåll 2000.</w:t>
      </w:r>
      <w:r>
        <w:rPr>
          <w:lang w:val="is-IS"/>
        </w:rPr>
        <w:t xml:space="preserve"> Kapitel 6 Bitumenbundna lager. VV Publ 2000:72. Vägverket, Borlänge. </w:t>
      </w:r>
    </w:p>
    <w:p w14:paraId="33D07E11" w14:textId="77777777" w:rsidR="00523599" w:rsidRDefault="00523599" w:rsidP="00523599">
      <w:pPr>
        <w:ind w:left="340" w:hanging="340"/>
        <w:jc w:val="both"/>
        <w:rPr>
          <w:lang w:val="is-IS"/>
        </w:rPr>
      </w:pPr>
      <w:r>
        <w:rPr>
          <w:lang w:val="is-IS"/>
        </w:rPr>
        <w:t xml:space="preserve">White, Thomas D. 1985. </w:t>
      </w:r>
      <w:r w:rsidRPr="00FD71D3">
        <w:rPr>
          <w:i/>
          <w:lang w:val="is-IS"/>
        </w:rPr>
        <w:t>Marshall Procedures for Design and Quality Control of Asphalt Mixtures.</w:t>
      </w:r>
      <w:r>
        <w:rPr>
          <w:lang w:val="is-IS"/>
        </w:rPr>
        <w:t xml:space="preserve"> Asphalt Paving Technology 1985. Proceedings. The Association of Asphalt Paving Technologists, Minneapolis.</w:t>
      </w:r>
    </w:p>
    <w:p w14:paraId="33D07E12" w14:textId="77777777" w:rsidR="00523599" w:rsidRDefault="00523599" w:rsidP="00523599">
      <w:pPr>
        <w:ind w:left="340" w:hanging="340"/>
        <w:jc w:val="both"/>
        <w:rPr>
          <w:lang w:val="is-IS"/>
        </w:rPr>
      </w:pPr>
      <w:r>
        <w:rPr>
          <w:lang w:val="is-IS"/>
        </w:rPr>
        <w:t xml:space="preserve">Wiman, Leif G. 2000. Upplýsingar í tölvupósti frá Þóri Ingasyni, fengnar hjá Leif G. Wiman, Väg och transportforskningsinstitutet, Linköping. Tölvupóstur dagsettur 2. febrúar 2000. </w:t>
      </w:r>
    </w:p>
    <w:p w14:paraId="33D07E13" w14:textId="77777777" w:rsidR="007B4108" w:rsidRDefault="007B4108" w:rsidP="00523599">
      <w:pPr>
        <w:ind w:left="340" w:hanging="340"/>
        <w:jc w:val="both"/>
        <w:rPr>
          <w:lang w:val="is-IS"/>
        </w:rPr>
      </w:pPr>
    </w:p>
    <w:p w14:paraId="33D07E14" w14:textId="1F32EF7F" w:rsidR="007B4108" w:rsidRPr="00AE5309" w:rsidRDefault="007B4108" w:rsidP="00DC2DEE">
      <w:pPr>
        <w:pStyle w:val="Heading2"/>
        <w:numPr>
          <w:ilvl w:val="0"/>
          <w:numId w:val="0"/>
        </w:numPr>
        <w:ind w:firstLine="340"/>
        <w:rPr>
          <w:color w:val="FF0000"/>
          <w:lang w:val="is-IS"/>
        </w:rPr>
      </w:pPr>
      <w:bookmarkStart w:id="23" w:name="_Toc52974028"/>
      <w:r w:rsidRPr="00AE5309">
        <w:rPr>
          <w:color w:val="FF0000"/>
          <w:lang w:val="is-IS"/>
        </w:rPr>
        <w:t>ATHUGASEMD RITSTJÓRNAR</w:t>
      </w:r>
      <w:r w:rsidR="005C1047" w:rsidRPr="00AE5309">
        <w:rPr>
          <w:color w:val="FF0000"/>
          <w:lang w:val="is-IS"/>
        </w:rPr>
        <w:t xml:space="preserve"> </w:t>
      </w:r>
      <w:r w:rsidR="00681418" w:rsidRPr="00AE5309">
        <w:rPr>
          <w:color w:val="FF0000"/>
          <w:lang w:val="is-IS"/>
        </w:rPr>
        <w:t xml:space="preserve">VIÐ KAFLA 6 </w:t>
      </w:r>
      <w:r w:rsidRPr="00AE5309">
        <w:rPr>
          <w:color w:val="FF0000"/>
          <w:lang w:val="is-IS"/>
        </w:rPr>
        <w:t>Í JANÚAR 2020</w:t>
      </w:r>
      <w:bookmarkEnd w:id="23"/>
    </w:p>
    <w:p w14:paraId="33D07E16" w14:textId="4A40A8DB" w:rsidR="007B4108" w:rsidRPr="00AE5309" w:rsidRDefault="00766C10" w:rsidP="00766C10">
      <w:pPr>
        <w:jc w:val="both"/>
        <w:rPr>
          <w:color w:val="FF0000"/>
          <w:lang w:val="is-IS"/>
        </w:rPr>
      </w:pPr>
      <w:r w:rsidRPr="00AE5309">
        <w:rPr>
          <w:color w:val="FF0000"/>
          <w:lang w:val="is-IS"/>
        </w:rPr>
        <w:t xml:space="preserve">Ritstjórn Efnisgæðaritsins vill taka fram að allt það sem sett er fram í kafla 6, þó með lítilsháttar breytingum nú, er í fullu gildi. Hins vegar má benda á að síðan </w:t>
      </w:r>
      <w:r w:rsidR="00441FBC" w:rsidRPr="00AE5309">
        <w:rPr>
          <w:color w:val="FF0000"/>
          <w:lang w:val="is-IS"/>
        </w:rPr>
        <w:t>þessi skrif voru</w:t>
      </w:r>
      <w:r w:rsidRPr="00AE5309">
        <w:rPr>
          <w:color w:val="FF0000"/>
          <w:lang w:val="is-IS"/>
        </w:rPr>
        <w:t xml:space="preserve"> sett fram hafa farið fram ýtarlegar rannsóknir og prófanir á skriðeiginleikum malbiks sem notað er hérlendis, með</w:t>
      </w:r>
      <w:r w:rsidR="008234B0" w:rsidRPr="00AE5309">
        <w:rPr>
          <w:color w:val="FF0000"/>
          <w:lang w:val="is-IS"/>
        </w:rPr>
        <w:t>al</w:t>
      </w:r>
      <w:r w:rsidRPr="00AE5309">
        <w:rPr>
          <w:color w:val="FF0000"/>
          <w:lang w:val="is-IS"/>
        </w:rPr>
        <w:t xml:space="preserve"> annar</w:t>
      </w:r>
      <w:r w:rsidR="008234B0" w:rsidRPr="00AE5309">
        <w:rPr>
          <w:color w:val="FF0000"/>
          <w:lang w:val="is-IS"/>
        </w:rPr>
        <w:t>s</w:t>
      </w:r>
      <w:r w:rsidRPr="00AE5309">
        <w:rPr>
          <w:color w:val="FF0000"/>
          <w:lang w:val="is-IS"/>
        </w:rPr>
        <w:t xml:space="preserve"> í hjólfaratæki (e. wheel tracking test), skv. ÍST EN 12697-22</w:t>
      </w:r>
      <w:r w:rsidR="008234B0" w:rsidRPr="00AE5309">
        <w:rPr>
          <w:color w:val="FF0000"/>
          <w:lang w:val="is-IS"/>
        </w:rPr>
        <w:t xml:space="preserve">. Það tæki kom til landsins árið 2007 og hefur verið markvisst notað til rannsókna og þjónustu við malbiksframleiðendur allar götur síðan. </w:t>
      </w:r>
      <w:r w:rsidR="00E77E4B" w:rsidRPr="00AE5309">
        <w:rPr>
          <w:color w:val="FF0000"/>
          <w:lang w:val="is-IS"/>
        </w:rPr>
        <w:t>Flestar rannsóknir í hjólfaratækinu hafa verið styrktar af rannsóknasjóði Vegagerð</w:t>
      </w:r>
      <w:r w:rsidR="00E252CB" w:rsidRPr="00AE5309">
        <w:rPr>
          <w:color w:val="FF0000"/>
          <w:lang w:val="is-IS"/>
        </w:rPr>
        <w:t>arinnar og má því finna skýrslur</w:t>
      </w:r>
      <w:r w:rsidR="00E77E4B" w:rsidRPr="00AE5309">
        <w:rPr>
          <w:color w:val="FF0000"/>
          <w:lang w:val="is-IS"/>
        </w:rPr>
        <w:t xml:space="preserve"> um þær á vef Vegagerðarinnar. </w:t>
      </w:r>
      <w:r w:rsidR="00C50ABA" w:rsidRPr="00AE5309">
        <w:rPr>
          <w:color w:val="FF0000"/>
          <w:lang w:val="is-IS"/>
        </w:rPr>
        <w:t xml:space="preserve">Um svipað leiti var fengið Prall tæki til landsins til að mæla slit af völdum nagladekkja og má finna niðurstöður þeirra mælinga í sömu skýrslum og vísað er til hér að ofan. </w:t>
      </w:r>
      <w:r w:rsidR="008234B0" w:rsidRPr="00AE5309">
        <w:rPr>
          <w:color w:val="FF0000"/>
          <w:lang w:val="is-IS"/>
        </w:rPr>
        <w:t>Einnig má benda á að frá því að kafli 6 var skrifaður</w:t>
      </w:r>
      <w:r w:rsidR="00E62F0F" w:rsidRPr="00AE5309">
        <w:rPr>
          <w:color w:val="FF0000"/>
          <w:lang w:val="is-IS"/>
        </w:rPr>
        <w:t xml:space="preserve"> hefur umferð aukist verulega, ekki síst umferð þungra bíla, en það á einnig við um vetrarumferð og aukna nagladekkjanotkun</w:t>
      </w:r>
      <w:r w:rsidR="00E252CB" w:rsidRPr="00AE5309">
        <w:rPr>
          <w:color w:val="FF0000"/>
          <w:lang w:val="is-IS"/>
        </w:rPr>
        <w:t xml:space="preserve"> með auknum fjölda ferðamanna</w:t>
      </w:r>
      <w:r w:rsidR="00E62F0F" w:rsidRPr="00AE5309">
        <w:rPr>
          <w:color w:val="FF0000"/>
          <w:lang w:val="is-IS"/>
        </w:rPr>
        <w:t xml:space="preserve">. Því má ætla að hjólfaramyndun sé enn að </w:t>
      </w:r>
      <w:r w:rsidR="009217C9" w:rsidRPr="00AE5309">
        <w:rPr>
          <w:color w:val="FF0000"/>
          <w:lang w:val="is-IS"/>
        </w:rPr>
        <w:t>verulegu</w:t>
      </w:r>
      <w:r w:rsidR="00E62F0F" w:rsidRPr="00AE5309">
        <w:rPr>
          <w:color w:val="FF0000"/>
          <w:lang w:val="is-IS"/>
        </w:rPr>
        <w:t xml:space="preserve"> leyti slit af völdum nagladekkja, en þar sem umferð er mikil og þung er áætlað að hjólför af völdum skriðs að sumarlagi geti verið </w:t>
      </w:r>
      <w:r w:rsidR="009217C9" w:rsidRPr="00AE5309">
        <w:rPr>
          <w:color w:val="FF0000"/>
          <w:lang w:val="is-IS"/>
        </w:rPr>
        <w:t xml:space="preserve">að </w:t>
      </w:r>
      <w:r w:rsidR="00BD6979" w:rsidRPr="00AE5309">
        <w:rPr>
          <w:color w:val="FF0000"/>
          <w:lang w:val="is-IS"/>
        </w:rPr>
        <w:t>á bilinu</w:t>
      </w:r>
      <w:r w:rsidR="009217C9" w:rsidRPr="00AE5309">
        <w:rPr>
          <w:color w:val="FF0000"/>
          <w:lang w:val="is-IS"/>
        </w:rPr>
        <w:t xml:space="preserve"> </w:t>
      </w:r>
      <w:r w:rsidR="00E62F0F" w:rsidRPr="00AE5309">
        <w:rPr>
          <w:color w:val="FF0000"/>
          <w:lang w:val="is-IS"/>
        </w:rPr>
        <w:t>fjórðungur</w:t>
      </w:r>
      <w:r w:rsidR="00BD6979" w:rsidRPr="00AE5309">
        <w:rPr>
          <w:color w:val="FF0000"/>
          <w:lang w:val="is-IS"/>
        </w:rPr>
        <w:t xml:space="preserve"> til þriðjungur</w:t>
      </w:r>
      <w:r w:rsidR="00E62F0F" w:rsidRPr="00AE5309">
        <w:rPr>
          <w:color w:val="FF0000"/>
          <w:lang w:val="is-IS"/>
        </w:rPr>
        <w:t xml:space="preserve"> af heildarhjólförum</w:t>
      </w:r>
      <w:r w:rsidR="00BD6979" w:rsidRPr="00AE5309">
        <w:rPr>
          <w:color w:val="FF0000"/>
          <w:lang w:val="is-IS"/>
        </w:rPr>
        <w:t xml:space="preserve"> í malbiki</w:t>
      </w:r>
      <w:r w:rsidR="00E62F0F" w:rsidRPr="00AE5309">
        <w:rPr>
          <w:color w:val="FF0000"/>
          <w:lang w:val="is-IS"/>
        </w:rPr>
        <w:t>.</w:t>
      </w:r>
      <w:r w:rsidR="00441FBC" w:rsidRPr="00AE5309">
        <w:rPr>
          <w:color w:val="FF0000"/>
          <w:lang w:val="is-IS"/>
        </w:rPr>
        <w:t xml:space="preserve"> Reyndar bendir sænskt spálíkan til þess að deigar formbreytingar (skrið) geti verið allt að 40% hjólfaramyndunar. Það þarf þó ætíð að hafa í huga að malbiksgerðin</w:t>
      </w:r>
      <w:r w:rsidR="00E252CB" w:rsidRPr="00AE5309">
        <w:rPr>
          <w:color w:val="FF0000"/>
          <w:lang w:val="is-IS"/>
        </w:rPr>
        <w:t>, verklag við lagningu og þjöppun, ytri aðstæður, svo</w:t>
      </w:r>
      <w:r w:rsidR="00441FBC" w:rsidRPr="00AE5309">
        <w:rPr>
          <w:color w:val="FF0000"/>
          <w:lang w:val="is-IS"/>
        </w:rPr>
        <w:t xml:space="preserve"> og umferðarsamsetningin hefur afgerandi áhrif á hjólfaramyndun í malbiki hverju sinni. Vegagerðin hefur á undanförnum árum notað hart bik (PG 70/100) og innflutt, slitsterkt steinefni til að verjast hjólfaramyndun, bæði af völdum skriðs og slits.</w:t>
      </w:r>
    </w:p>
    <w:p w14:paraId="33D07E17" w14:textId="77777777" w:rsidR="00523599" w:rsidRDefault="00523599" w:rsidP="00523599">
      <w:pPr>
        <w:jc w:val="both"/>
        <w:rPr>
          <w:lang w:val="is-IS"/>
        </w:rPr>
      </w:pPr>
    </w:p>
    <w:p w14:paraId="33D07E19" w14:textId="1D8C61CB" w:rsidR="009E66E9" w:rsidRPr="00D14E7C" w:rsidRDefault="009E66E9" w:rsidP="009E66E9">
      <w:pPr>
        <w:pStyle w:val="Heading1"/>
      </w:pPr>
      <w:bookmarkStart w:id="24" w:name="_Toc52974029"/>
      <w:r w:rsidRPr="00D15FAD">
        <w:t>FRÓÐLEIKUR UM FESTU OG SIG</w:t>
      </w:r>
      <w:bookmarkEnd w:id="24"/>
    </w:p>
    <w:p w14:paraId="33D07E1A" w14:textId="664DB796" w:rsidR="009E66E9" w:rsidRDefault="009E66E9" w:rsidP="009E66E9">
      <w:pPr>
        <w:jc w:val="both"/>
        <w:rPr>
          <w:lang w:val="is-IS"/>
        </w:rPr>
      </w:pPr>
      <w:r>
        <w:rPr>
          <w:lang w:val="is-IS"/>
        </w:rPr>
        <w:t xml:space="preserve">Mælingar á festu og sigi eru hluti af einni af mörgum hönnunaraðferðum fyrir malbik, Marshallaðferðinni. Festan er mælikvarði á nokkurs konar brotþol malbikssívalnings, sem liggur á hliðinni í sívalningslaga móti sem er opið </w:t>
      </w:r>
      <w:r w:rsidR="00706364">
        <w:rPr>
          <w:lang w:val="is-IS"/>
        </w:rPr>
        <w:t xml:space="preserve">til endanna en skorið sundur </w:t>
      </w:r>
      <w:r>
        <w:rPr>
          <w:lang w:val="is-IS"/>
        </w:rPr>
        <w:t>á hliðunum</w:t>
      </w:r>
      <w:r w:rsidR="00706364">
        <w:rPr>
          <w:lang w:val="is-IS"/>
        </w:rPr>
        <w:t>.</w:t>
      </w:r>
      <w:r>
        <w:rPr>
          <w:lang w:val="is-IS"/>
        </w:rPr>
        <w:t xml:space="preserve"> </w:t>
      </w:r>
      <w:r w:rsidR="00706364">
        <w:rPr>
          <w:lang w:val="is-IS"/>
        </w:rPr>
        <w:t>S</w:t>
      </w:r>
      <w:r>
        <w:rPr>
          <w:lang w:val="is-IS"/>
        </w:rPr>
        <w:t>igið er mælikvarði á aflögun malbikssívalningsins þegar álagið nær hámarki</w:t>
      </w:r>
      <w:r w:rsidR="00706364">
        <w:rPr>
          <w:lang w:val="is-IS"/>
        </w:rPr>
        <w:t xml:space="preserve"> í brotþolsprófinu</w:t>
      </w:r>
      <w:r>
        <w:rPr>
          <w:lang w:val="is-IS"/>
        </w:rPr>
        <w:t xml:space="preserve">. Aðferðin var þróuð um 1940 og er af mörgum talin úrelt, en er samt sem áður algengasta aðferðin til að ákvarða heppilega samsetningu malbiks, meðal annars vegna þess að með tímanum hefur safnast upp geysimikil reynsla af notkun hennar. Hún er fremur einföld, fljótleg og tiltölulega ódýr og hana er hægt að nota á öllum ferlinum, frá hönnun til eftirlits með framkvæmd. Aðferðin er </w:t>
      </w:r>
      <w:r w:rsidR="001D10CA">
        <w:rPr>
          <w:lang w:val="is-IS"/>
        </w:rPr>
        <w:t xml:space="preserve">fyrst </w:t>
      </w:r>
      <w:r w:rsidR="001D10CA">
        <w:rPr>
          <w:lang w:val="is-IS"/>
        </w:rPr>
        <w:lastRenderedPageBreak/>
        <w:t>og fremst</w:t>
      </w:r>
      <w:r>
        <w:rPr>
          <w:lang w:val="is-IS"/>
        </w:rPr>
        <w:t xml:space="preserve"> ætluð fyrir heitblandað malbik með hámarks kornastærð 25 mm og tiltölulega þéttan sáldurferil. Síðastnefnda ákvæðið gerir að álitamáli hvort Marshallaðferðin er heppileg til að hanna</w:t>
      </w:r>
      <w:r w:rsidR="00C50ABA">
        <w:rPr>
          <w:lang w:val="is-IS"/>
        </w:rPr>
        <w:t xml:space="preserve"> steinríkt malbik,</w:t>
      </w:r>
      <w:r>
        <w:rPr>
          <w:lang w:val="is-IS"/>
        </w:rPr>
        <w:t xml:space="preserve"> SMA. </w:t>
      </w:r>
    </w:p>
    <w:p w14:paraId="33D07E1B" w14:textId="77777777" w:rsidR="009E66E9" w:rsidRDefault="009E66E9" w:rsidP="009E66E9">
      <w:pPr>
        <w:ind w:firstLine="340"/>
        <w:jc w:val="both"/>
        <w:rPr>
          <w:lang w:val="is-IS"/>
        </w:rPr>
      </w:pPr>
      <w:r>
        <w:rPr>
          <w:lang w:val="is-IS"/>
        </w:rPr>
        <w:t xml:space="preserve">Megintilgangurinn með hönnun eftir Marshallaðferðinni er að ákvarða hæfilegt bindiefnismagn í malbiksblöndu, meðal annars með tilliti til skriðeiginleika og holrýmdar. Á síðari árum hefur „Superpave“-aðferðin veitt henni nokkra samkeppni, en nánast eingöngu vestanhafs. </w:t>
      </w:r>
    </w:p>
    <w:p w14:paraId="33D07E1C" w14:textId="5A1760F9" w:rsidR="009E66E9" w:rsidRDefault="009E66E9" w:rsidP="009E66E9">
      <w:pPr>
        <w:ind w:firstLine="340"/>
        <w:jc w:val="both"/>
        <w:rPr>
          <w:lang w:val="is-IS"/>
        </w:rPr>
      </w:pPr>
      <w:r>
        <w:rPr>
          <w:lang w:val="is-IS"/>
        </w:rPr>
        <w:t xml:space="preserve">Tilgangurinn með mælingum á festu og sigi í Marshallprófi er að meta mótstöðu malbiksins gegn skriði </w:t>
      </w:r>
      <w:r w:rsidR="00706364">
        <w:rPr>
          <w:lang w:val="is-IS"/>
        </w:rPr>
        <w:t>[</w:t>
      </w:r>
      <w:r>
        <w:rPr>
          <w:lang w:val="is-IS"/>
        </w:rPr>
        <w:t>Asphalt Institute 1983, bls. 75</w:t>
      </w:r>
      <w:r w:rsidR="00706364">
        <w:rPr>
          <w:lang w:val="is-IS"/>
        </w:rPr>
        <w:t>]</w:t>
      </w:r>
      <w:r>
        <w:rPr>
          <w:lang w:val="is-IS"/>
        </w:rPr>
        <w:t xml:space="preserve"> en aðferðin hefur sætt mikilli gagnrýni. Meðal annars er þjöppunin ólík því sem gerist við útlögn, Marshallþjöppunin er eingöngu lóðrétt höggálag en þjöppun með valta er sambland af lóðréttu höggálagi og hnoði. Að þessu leyti er snúðþjöppun raunhæfari</w:t>
      </w:r>
      <w:r w:rsidR="00C50ABA">
        <w:rPr>
          <w:lang w:val="is-IS"/>
        </w:rPr>
        <w:t xml:space="preserve"> (e. gyratory compaction)</w:t>
      </w:r>
      <w:r>
        <w:rPr>
          <w:lang w:val="is-IS"/>
        </w:rPr>
        <w:t xml:space="preserve">. Í annan stað er sjálf prófunin óraunhæf; bæði er prófunarhitastigið (60°C) hærra en gerist í slitlagi í norrænum löndum og álagið í prófuninni er ekkert líkt því sem gerist í slitlagi undir umferð </w:t>
      </w:r>
      <w:r w:rsidR="00706364">
        <w:rPr>
          <w:lang w:val="is-IS"/>
        </w:rPr>
        <w:t>[</w:t>
      </w:r>
      <w:r>
        <w:rPr>
          <w:lang w:val="is-IS"/>
        </w:rPr>
        <w:t>NVF-33 1985, bls. 18-19</w:t>
      </w:r>
      <w:r w:rsidR="00706364">
        <w:rPr>
          <w:lang w:val="is-IS"/>
        </w:rPr>
        <w:t>]</w:t>
      </w:r>
      <w:r>
        <w:rPr>
          <w:lang w:val="is-IS"/>
        </w:rPr>
        <w:t>.</w:t>
      </w:r>
      <w:r w:rsidRPr="00D81FBD">
        <w:rPr>
          <w:lang w:val="is-IS"/>
        </w:rPr>
        <w:t xml:space="preserve"> </w:t>
      </w:r>
      <w:r>
        <w:rPr>
          <w:lang w:val="is-IS"/>
        </w:rPr>
        <w:t>Aðrar aðferðir til að meta hættu á skriði eru raunhæfari svo sem hjólfarapróf (</w:t>
      </w:r>
      <w:r w:rsidR="00C50ABA">
        <w:rPr>
          <w:lang w:val="is-IS"/>
        </w:rPr>
        <w:t xml:space="preserve">e. </w:t>
      </w:r>
      <w:r>
        <w:rPr>
          <w:lang w:val="is-IS"/>
        </w:rPr>
        <w:t>wheel tracking test), sigpróf (</w:t>
      </w:r>
      <w:r w:rsidR="00C50ABA">
        <w:rPr>
          <w:lang w:val="is-IS"/>
        </w:rPr>
        <w:t xml:space="preserve">e. </w:t>
      </w:r>
      <w:r>
        <w:rPr>
          <w:lang w:val="is-IS"/>
        </w:rPr>
        <w:t xml:space="preserve">creep test) og sveiflandi ein- eða þríásapróf svo nokkrar séu nefndar. </w:t>
      </w:r>
    </w:p>
    <w:p w14:paraId="33D07E1D" w14:textId="77777777" w:rsidR="009E66E9" w:rsidRDefault="009E66E9" w:rsidP="00707725">
      <w:pPr>
        <w:ind w:firstLine="340"/>
        <w:jc w:val="both"/>
        <w:rPr>
          <w:lang w:val="is-IS"/>
        </w:rPr>
      </w:pPr>
      <w:r>
        <w:rPr>
          <w:lang w:val="is-IS"/>
        </w:rPr>
        <w:t xml:space="preserve">Kröfur um lágmarks festu eru gerðar til að takmarka líkur á skriði. Þar með er ekki sagt að mjög há festa sé eftirsóknarverð, </w:t>
      </w:r>
      <w:r w:rsidR="00706364">
        <w:rPr>
          <w:lang w:val="is-IS"/>
        </w:rPr>
        <w:t>hún</w:t>
      </w:r>
      <w:r>
        <w:rPr>
          <w:lang w:val="is-IS"/>
        </w:rPr>
        <w:t xml:space="preserve"> getur komið niður á endingu malbiksins </w:t>
      </w:r>
      <w:r w:rsidR="00706364">
        <w:rPr>
          <w:lang w:val="is-IS"/>
        </w:rPr>
        <w:t>[</w:t>
      </w:r>
      <w:r>
        <w:rPr>
          <w:lang w:val="is-IS"/>
        </w:rPr>
        <w:t>Asphalt Institute 1983, bls. 77</w:t>
      </w:r>
      <w:r w:rsidR="00706364">
        <w:rPr>
          <w:lang w:val="is-IS"/>
        </w:rPr>
        <w:t>]</w:t>
      </w:r>
      <w:r>
        <w:rPr>
          <w:lang w:val="is-IS"/>
        </w:rPr>
        <w:t xml:space="preserve">. Sveigjanleiki slitlagsins og sig í Marshallprófi eru talin fylgjast að </w:t>
      </w:r>
      <w:r w:rsidRPr="008D5B70">
        <w:rPr>
          <w:lang w:val="is-IS"/>
        </w:rPr>
        <w:t xml:space="preserve">og minna sig en </w:t>
      </w:r>
      <w:r>
        <w:rPr>
          <w:lang w:val="is-IS"/>
        </w:rPr>
        <w:t>tveir</w:t>
      </w:r>
      <w:r w:rsidRPr="008D5B70">
        <w:rPr>
          <w:lang w:val="is-IS"/>
        </w:rPr>
        <w:t xml:space="preserve"> mm er talið óheppilegt</w:t>
      </w:r>
      <w:r>
        <w:rPr>
          <w:lang w:val="is-IS"/>
        </w:rPr>
        <w:t xml:space="preserve">, þá verði slitlagið fremur stíft og stökkt og líklegt til að springa. Á hinn bóginn er talið óheppilegt að sig fari yfir 4,5 mm, en það er oft fylgifiskur lágrar festu </w:t>
      </w:r>
      <w:r w:rsidR="00706364">
        <w:rPr>
          <w:lang w:val="is-IS"/>
        </w:rPr>
        <w:t>[</w:t>
      </w:r>
      <w:r>
        <w:rPr>
          <w:lang w:val="is-IS"/>
        </w:rPr>
        <w:t>Krebs 1971, bls. 399</w:t>
      </w:r>
      <w:r w:rsidR="00706364">
        <w:rPr>
          <w:lang w:val="is-IS"/>
        </w:rPr>
        <w:t>]</w:t>
      </w:r>
      <w:r>
        <w:rPr>
          <w:lang w:val="is-IS"/>
        </w:rPr>
        <w:t xml:space="preserve">. Malbik með óeðlilega hárri festu og lágu sigi samtímis er talið óheppilegt á veikburða undirbyggingu vegna skorts á sveigjanleika og hættu á sprungum </w:t>
      </w:r>
      <w:r w:rsidR="00706364">
        <w:rPr>
          <w:lang w:val="is-IS"/>
        </w:rPr>
        <w:t>[</w:t>
      </w:r>
      <w:r>
        <w:rPr>
          <w:lang w:val="is-IS"/>
        </w:rPr>
        <w:t>Sargious 1975, bls. 218</w:t>
      </w:r>
      <w:r w:rsidR="00706364">
        <w:rPr>
          <w:lang w:val="is-IS"/>
        </w:rPr>
        <w:t>]</w:t>
      </w:r>
      <w:r>
        <w:rPr>
          <w:lang w:val="is-IS"/>
        </w:rPr>
        <w:t>. Um 1970 lögðu hollenskir vísindamenn til að stífni</w:t>
      </w:r>
      <w:r>
        <w:rPr>
          <w:rStyle w:val="FootnoteReference"/>
          <w:lang w:val="is-IS"/>
        </w:rPr>
        <w:footnoteReference w:id="4"/>
      </w:r>
      <w:r>
        <w:rPr>
          <w:lang w:val="is-IS"/>
        </w:rPr>
        <w:t xml:space="preserve"> (hlutfallið milli festu og sigs) yrði notað sem mælikvarði á mótstöðu gegn skriði </w:t>
      </w:r>
      <w:r w:rsidR="00706364">
        <w:rPr>
          <w:lang w:val="is-IS"/>
        </w:rPr>
        <w:t>[</w:t>
      </w:r>
      <w:r>
        <w:rPr>
          <w:lang w:val="is-IS"/>
        </w:rPr>
        <w:t>Foster 1985, bls. 315</w:t>
      </w:r>
      <w:r w:rsidR="00706364">
        <w:rPr>
          <w:lang w:val="is-IS"/>
        </w:rPr>
        <w:t>]</w:t>
      </w:r>
      <w:r>
        <w:rPr>
          <w:lang w:val="is-IS"/>
        </w:rPr>
        <w:t xml:space="preserve">. Þetta hlutfall hefur víða verið tekið upp í kröfur. </w:t>
      </w:r>
    </w:p>
    <w:p w14:paraId="33D07E1E" w14:textId="77777777" w:rsidR="009E66E9" w:rsidRDefault="009E66E9" w:rsidP="00707725">
      <w:pPr>
        <w:jc w:val="both"/>
        <w:rPr>
          <w:lang w:val="is-IS"/>
        </w:rPr>
      </w:pPr>
    </w:p>
    <w:p w14:paraId="33D07E1F" w14:textId="7C0074E6" w:rsidR="009E66E9" w:rsidRPr="00707725" w:rsidRDefault="009E66E9" w:rsidP="00707725">
      <w:pPr>
        <w:jc w:val="center"/>
        <w:rPr>
          <w:sz w:val="20"/>
          <w:lang w:val="is-IS"/>
        </w:rPr>
      </w:pPr>
      <w:r w:rsidRPr="00C70E49">
        <w:rPr>
          <w:b/>
          <w:sz w:val="20"/>
          <w:lang w:val="is-IS"/>
        </w:rPr>
        <w:t xml:space="preserve">Tafla 1. </w:t>
      </w:r>
      <w:r w:rsidR="001F0FB6">
        <w:rPr>
          <w:sz w:val="20"/>
          <w:lang w:val="is-IS"/>
        </w:rPr>
        <w:t xml:space="preserve">Marshallkröfur </w:t>
      </w:r>
      <w:r w:rsidRPr="00707725">
        <w:rPr>
          <w:sz w:val="20"/>
          <w:lang w:val="is-IS"/>
        </w:rPr>
        <w:t xml:space="preserve">í </w:t>
      </w:r>
      <w:r w:rsidR="00B34897">
        <w:rPr>
          <w:sz w:val="20"/>
          <w:lang w:val="is-IS"/>
        </w:rPr>
        <w:t xml:space="preserve">eldri </w:t>
      </w:r>
      <w:r w:rsidRPr="00707725">
        <w:rPr>
          <w:sz w:val="20"/>
          <w:lang w:val="is-IS"/>
        </w:rPr>
        <w:t xml:space="preserve">norskum verklýsingum. </w:t>
      </w:r>
    </w:p>
    <w:p w14:paraId="33D07E20" w14:textId="4DF00F2A" w:rsidR="009E66E9" w:rsidRPr="00707725" w:rsidRDefault="009E66E9" w:rsidP="00707725">
      <w:pPr>
        <w:spacing w:after="60"/>
        <w:jc w:val="center"/>
        <w:rPr>
          <w:sz w:val="20"/>
          <w:lang w:val="is-IS"/>
        </w:rPr>
      </w:pPr>
      <w:r w:rsidRPr="00707725">
        <w:rPr>
          <w:sz w:val="20"/>
          <w:lang w:val="is-IS"/>
        </w:rPr>
        <w:t xml:space="preserve">Ab svarar til </w:t>
      </w:r>
      <w:r w:rsidR="00975A56">
        <w:rPr>
          <w:sz w:val="20"/>
          <w:lang w:val="is-IS"/>
        </w:rPr>
        <w:t>AC</w:t>
      </w:r>
      <w:r w:rsidR="00975A56" w:rsidRPr="00707725">
        <w:rPr>
          <w:sz w:val="20"/>
          <w:lang w:val="is-IS"/>
        </w:rPr>
        <w:t xml:space="preserve"> </w:t>
      </w:r>
      <w:r w:rsidRPr="00707725">
        <w:rPr>
          <w:sz w:val="20"/>
          <w:lang w:val="is-IS"/>
        </w:rPr>
        <w:t>og Ag svarar til BRL.</w:t>
      </w:r>
    </w:p>
    <w:tbl>
      <w:tblPr>
        <w:tblStyle w:val="TableGrid"/>
        <w:tblW w:w="0" w:type="auto"/>
        <w:jc w:val="center"/>
        <w:tblLayout w:type="fixed"/>
        <w:tblLook w:val="01E0" w:firstRow="1" w:lastRow="1" w:firstColumn="1" w:lastColumn="1" w:noHBand="0" w:noVBand="0"/>
      </w:tblPr>
      <w:tblGrid>
        <w:gridCol w:w="2160"/>
        <w:gridCol w:w="1026"/>
        <w:gridCol w:w="1026"/>
        <w:gridCol w:w="1026"/>
      </w:tblGrid>
      <w:tr w:rsidR="009E66E9" w14:paraId="33D07E27" w14:textId="77777777" w:rsidTr="00C45043">
        <w:trPr>
          <w:jc w:val="center"/>
        </w:trPr>
        <w:tc>
          <w:tcPr>
            <w:tcW w:w="2160" w:type="dxa"/>
            <w:shd w:val="clear" w:color="auto" w:fill="D9E2F3" w:themeFill="accent5" w:themeFillTint="33"/>
          </w:tcPr>
          <w:p w14:paraId="33D07E21" w14:textId="77777777" w:rsidR="009E66E9" w:rsidRPr="002A03FF" w:rsidRDefault="009E66E9" w:rsidP="00F423B4">
            <w:pPr>
              <w:spacing w:after="60"/>
              <w:jc w:val="both"/>
              <w:rPr>
                <w:b/>
                <w:lang w:val="is-IS"/>
              </w:rPr>
            </w:pPr>
            <w:r w:rsidRPr="002A03FF">
              <w:rPr>
                <w:b/>
                <w:lang w:val="is-IS"/>
              </w:rPr>
              <w:t>Malbiksgerð</w:t>
            </w:r>
          </w:p>
        </w:tc>
        <w:tc>
          <w:tcPr>
            <w:tcW w:w="1026" w:type="dxa"/>
            <w:shd w:val="clear" w:color="auto" w:fill="D9E2F3" w:themeFill="accent5" w:themeFillTint="33"/>
          </w:tcPr>
          <w:p w14:paraId="33D07E22" w14:textId="77777777" w:rsidR="009E66E9" w:rsidRPr="002A03FF" w:rsidRDefault="009E66E9" w:rsidP="00F423B4">
            <w:pPr>
              <w:spacing w:after="60"/>
              <w:jc w:val="center"/>
              <w:rPr>
                <w:b/>
                <w:lang w:val="is-IS"/>
              </w:rPr>
            </w:pPr>
            <w:r w:rsidRPr="002A03FF">
              <w:rPr>
                <w:b/>
                <w:lang w:val="is-IS"/>
              </w:rPr>
              <w:t>Festa</w:t>
            </w:r>
          </w:p>
          <w:p w14:paraId="33D07E23" w14:textId="77777777" w:rsidR="009E66E9" w:rsidRPr="002A03FF" w:rsidRDefault="009E66E9" w:rsidP="00F423B4">
            <w:pPr>
              <w:spacing w:after="60"/>
              <w:jc w:val="center"/>
              <w:rPr>
                <w:b/>
                <w:lang w:val="is-IS"/>
              </w:rPr>
            </w:pPr>
            <w:r w:rsidRPr="002A03FF">
              <w:rPr>
                <w:b/>
                <w:lang w:val="is-IS"/>
              </w:rPr>
              <w:t>kN</w:t>
            </w:r>
          </w:p>
        </w:tc>
        <w:tc>
          <w:tcPr>
            <w:tcW w:w="1026" w:type="dxa"/>
            <w:shd w:val="clear" w:color="auto" w:fill="D9E2F3" w:themeFill="accent5" w:themeFillTint="33"/>
          </w:tcPr>
          <w:p w14:paraId="33D07E24" w14:textId="77777777" w:rsidR="009E66E9" w:rsidRPr="002A03FF" w:rsidRDefault="009E66E9" w:rsidP="00F423B4">
            <w:pPr>
              <w:spacing w:after="60"/>
              <w:jc w:val="center"/>
              <w:rPr>
                <w:b/>
                <w:lang w:val="is-IS"/>
              </w:rPr>
            </w:pPr>
            <w:r w:rsidRPr="002A03FF">
              <w:rPr>
                <w:b/>
                <w:lang w:val="is-IS"/>
              </w:rPr>
              <w:t>Sig</w:t>
            </w:r>
          </w:p>
          <w:p w14:paraId="33D07E25" w14:textId="77777777" w:rsidR="009E66E9" w:rsidRPr="002A03FF" w:rsidRDefault="009E66E9" w:rsidP="00F423B4">
            <w:pPr>
              <w:spacing w:after="60"/>
              <w:jc w:val="center"/>
              <w:rPr>
                <w:b/>
                <w:lang w:val="is-IS"/>
              </w:rPr>
            </w:pPr>
            <w:r w:rsidRPr="002A03FF">
              <w:rPr>
                <w:b/>
                <w:lang w:val="is-IS"/>
              </w:rPr>
              <w:t>mm</w:t>
            </w:r>
          </w:p>
        </w:tc>
        <w:tc>
          <w:tcPr>
            <w:tcW w:w="1026" w:type="dxa"/>
            <w:shd w:val="clear" w:color="auto" w:fill="D9E2F3" w:themeFill="accent5" w:themeFillTint="33"/>
          </w:tcPr>
          <w:p w14:paraId="33D07E26" w14:textId="77777777" w:rsidR="009E66E9" w:rsidRPr="002A03FF" w:rsidRDefault="009E66E9" w:rsidP="00F423B4">
            <w:pPr>
              <w:spacing w:after="60"/>
              <w:jc w:val="center"/>
              <w:rPr>
                <w:b/>
                <w:lang w:val="is-IS"/>
              </w:rPr>
            </w:pPr>
            <w:r w:rsidRPr="002A03FF">
              <w:rPr>
                <w:b/>
                <w:lang w:val="is-IS"/>
              </w:rPr>
              <w:t>Stífni kN/mm</w:t>
            </w:r>
          </w:p>
        </w:tc>
      </w:tr>
      <w:tr w:rsidR="009E66E9" w14:paraId="33D07E2C" w14:textId="77777777" w:rsidTr="00C45043">
        <w:trPr>
          <w:jc w:val="center"/>
        </w:trPr>
        <w:tc>
          <w:tcPr>
            <w:tcW w:w="2160" w:type="dxa"/>
            <w:shd w:val="clear" w:color="auto" w:fill="D9E2F3" w:themeFill="accent5" w:themeFillTint="33"/>
          </w:tcPr>
          <w:p w14:paraId="33D07E28" w14:textId="77777777" w:rsidR="009E66E9" w:rsidRDefault="009E66E9" w:rsidP="00F423B4">
            <w:pPr>
              <w:spacing w:after="60"/>
              <w:jc w:val="both"/>
              <w:rPr>
                <w:lang w:val="is-IS"/>
              </w:rPr>
            </w:pPr>
            <w:r>
              <w:rPr>
                <w:lang w:val="is-IS"/>
              </w:rPr>
              <w:t xml:space="preserve">Ab, ÁDU &lt; 5000 </w:t>
            </w:r>
          </w:p>
        </w:tc>
        <w:tc>
          <w:tcPr>
            <w:tcW w:w="1026" w:type="dxa"/>
            <w:shd w:val="clear" w:color="auto" w:fill="FFF2CC" w:themeFill="accent4" w:themeFillTint="33"/>
          </w:tcPr>
          <w:p w14:paraId="33D07E29" w14:textId="77777777" w:rsidR="009E66E9" w:rsidRDefault="009E66E9" w:rsidP="00F423B4">
            <w:pPr>
              <w:spacing w:after="60"/>
              <w:jc w:val="center"/>
              <w:rPr>
                <w:lang w:val="is-IS"/>
              </w:rPr>
            </w:pPr>
            <w:r>
              <w:rPr>
                <w:lang w:val="is-IS"/>
              </w:rPr>
              <w:t>&gt;4,0</w:t>
            </w:r>
          </w:p>
        </w:tc>
        <w:tc>
          <w:tcPr>
            <w:tcW w:w="1026" w:type="dxa"/>
            <w:shd w:val="clear" w:color="auto" w:fill="FFF2CC" w:themeFill="accent4" w:themeFillTint="33"/>
          </w:tcPr>
          <w:p w14:paraId="33D07E2A" w14:textId="77777777" w:rsidR="009E66E9" w:rsidRDefault="009E66E9" w:rsidP="00F423B4">
            <w:pPr>
              <w:spacing w:after="60"/>
              <w:jc w:val="center"/>
              <w:rPr>
                <w:lang w:val="is-IS"/>
              </w:rPr>
            </w:pPr>
            <w:r>
              <w:rPr>
                <w:lang w:val="is-IS"/>
              </w:rPr>
              <w:t>1,5-4,6</w:t>
            </w:r>
          </w:p>
        </w:tc>
        <w:tc>
          <w:tcPr>
            <w:tcW w:w="1026" w:type="dxa"/>
            <w:shd w:val="clear" w:color="auto" w:fill="FFF2CC" w:themeFill="accent4" w:themeFillTint="33"/>
          </w:tcPr>
          <w:p w14:paraId="33D07E2B" w14:textId="77777777" w:rsidR="009E66E9" w:rsidRDefault="009E66E9" w:rsidP="00F423B4">
            <w:pPr>
              <w:spacing w:after="60"/>
              <w:jc w:val="center"/>
              <w:rPr>
                <w:lang w:val="is-IS"/>
              </w:rPr>
            </w:pPr>
            <w:r>
              <w:rPr>
                <w:lang w:val="is-IS"/>
              </w:rPr>
              <w:t>&gt;1,10</w:t>
            </w:r>
          </w:p>
        </w:tc>
      </w:tr>
      <w:tr w:rsidR="009E66E9" w14:paraId="33D07E31" w14:textId="77777777" w:rsidTr="00C45043">
        <w:trPr>
          <w:jc w:val="center"/>
        </w:trPr>
        <w:tc>
          <w:tcPr>
            <w:tcW w:w="2160" w:type="dxa"/>
            <w:shd w:val="clear" w:color="auto" w:fill="D9E2F3" w:themeFill="accent5" w:themeFillTint="33"/>
          </w:tcPr>
          <w:p w14:paraId="33D07E2D" w14:textId="77777777" w:rsidR="009E66E9" w:rsidRDefault="009E66E9" w:rsidP="00F423B4">
            <w:pPr>
              <w:spacing w:after="60"/>
              <w:jc w:val="both"/>
              <w:rPr>
                <w:lang w:val="is-IS"/>
              </w:rPr>
            </w:pPr>
            <w:r>
              <w:rPr>
                <w:lang w:val="is-IS"/>
              </w:rPr>
              <w:t>Ab, ÁDU &gt; 5000</w:t>
            </w:r>
          </w:p>
        </w:tc>
        <w:tc>
          <w:tcPr>
            <w:tcW w:w="1026" w:type="dxa"/>
            <w:shd w:val="clear" w:color="auto" w:fill="FFF2CC" w:themeFill="accent4" w:themeFillTint="33"/>
          </w:tcPr>
          <w:p w14:paraId="33D07E2E" w14:textId="77777777" w:rsidR="009E66E9" w:rsidRDefault="009E66E9" w:rsidP="00F423B4">
            <w:pPr>
              <w:spacing w:after="60"/>
              <w:jc w:val="center"/>
              <w:rPr>
                <w:lang w:val="is-IS"/>
              </w:rPr>
            </w:pPr>
            <w:r>
              <w:rPr>
                <w:lang w:val="is-IS"/>
              </w:rPr>
              <w:t>&gt;5,5</w:t>
            </w:r>
          </w:p>
        </w:tc>
        <w:tc>
          <w:tcPr>
            <w:tcW w:w="1026" w:type="dxa"/>
            <w:shd w:val="clear" w:color="auto" w:fill="FFF2CC" w:themeFill="accent4" w:themeFillTint="33"/>
          </w:tcPr>
          <w:p w14:paraId="33D07E2F" w14:textId="77777777" w:rsidR="009E66E9" w:rsidRDefault="009E66E9" w:rsidP="00F423B4">
            <w:pPr>
              <w:spacing w:after="60"/>
              <w:jc w:val="center"/>
              <w:rPr>
                <w:lang w:val="is-IS"/>
              </w:rPr>
            </w:pPr>
            <w:r>
              <w:rPr>
                <w:lang w:val="is-IS"/>
              </w:rPr>
              <w:t>1,5-4,0</w:t>
            </w:r>
          </w:p>
        </w:tc>
        <w:tc>
          <w:tcPr>
            <w:tcW w:w="1026" w:type="dxa"/>
            <w:shd w:val="clear" w:color="auto" w:fill="FFF2CC" w:themeFill="accent4" w:themeFillTint="33"/>
          </w:tcPr>
          <w:p w14:paraId="33D07E30" w14:textId="77777777" w:rsidR="009E66E9" w:rsidRDefault="009E66E9" w:rsidP="00F423B4">
            <w:pPr>
              <w:spacing w:after="60"/>
              <w:jc w:val="center"/>
              <w:rPr>
                <w:lang w:val="is-IS"/>
              </w:rPr>
            </w:pPr>
            <w:r>
              <w:rPr>
                <w:lang w:val="is-IS"/>
              </w:rPr>
              <w:t>&gt;2,15</w:t>
            </w:r>
          </w:p>
        </w:tc>
      </w:tr>
      <w:tr w:rsidR="009E66E9" w14:paraId="33D07E36" w14:textId="77777777" w:rsidTr="00C45043">
        <w:trPr>
          <w:jc w:val="center"/>
        </w:trPr>
        <w:tc>
          <w:tcPr>
            <w:tcW w:w="2160" w:type="dxa"/>
            <w:shd w:val="clear" w:color="auto" w:fill="D9E2F3" w:themeFill="accent5" w:themeFillTint="33"/>
          </w:tcPr>
          <w:p w14:paraId="33D07E32" w14:textId="77777777" w:rsidR="009E66E9" w:rsidRDefault="009E66E9" w:rsidP="00F423B4">
            <w:pPr>
              <w:spacing w:after="60"/>
              <w:jc w:val="both"/>
              <w:rPr>
                <w:lang w:val="is-IS"/>
              </w:rPr>
            </w:pPr>
            <w:r>
              <w:rPr>
                <w:lang w:val="is-IS"/>
              </w:rPr>
              <w:t>SMA, ÁDU &lt; 15000</w:t>
            </w:r>
          </w:p>
        </w:tc>
        <w:tc>
          <w:tcPr>
            <w:tcW w:w="1026" w:type="dxa"/>
            <w:shd w:val="clear" w:color="auto" w:fill="FFF2CC" w:themeFill="accent4" w:themeFillTint="33"/>
          </w:tcPr>
          <w:p w14:paraId="33D07E33" w14:textId="77777777" w:rsidR="009E66E9" w:rsidRDefault="009E66E9" w:rsidP="00F423B4">
            <w:pPr>
              <w:spacing w:after="60"/>
              <w:jc w:val="center"/>
              <w:rPr>
                <w:lang w:val="is-IS"/>
              </w:rPr>
            </w:pPr>
            <w:r>
              <w:rPr>
                <w:lang w:val="is-IS"/>
              </w:rPr>
              <w:t>&gt;4,5</w:t>
            </w:r>
          </w:p>
        </w:tc>
        <w:tc>
          <w:tcPr>
            <w:tcW w:w="1026" w:type="dxa"/>
            <w:shd w:val="clear" w:color="auto" w:fill="FFF2CC" w:themeFill="accent4" w:themeFillTint="33"/>
          </w:tcPr>
          <w:p w14:paraId="33D07E34" w14:textId="77777777" w:rsidR="009E66E9" w:rsidRDefault="009E66E9" w:rsidP="00F423B4">
            <w:pPr>
              <w:spacing w:after="60"/>
              <w:jc w:val="center"/>
              <w:rPr>
                <w:lang w:val="is-IS"/>
              </w:rPr>
            </w:pPr>
            <w:r>
              <w:rPr>
                <w:lang w:val="is-IS"/>
              </w:rPr>
              <w:t>1,5-4,6</w:t>
            </w:r>
          </w:p>
        </w:tc>
        <w:tc>
          <w:tcPr>
            <w:tcW w:w="1026" w:type="dxa"/>
            <w:shd w:val="clear" w:color="auto" w:fill="FFF2CC" w:themeFill="accent4" w:themeFillTint="33"/>
          </w:tcPr>
          <w:p w14:paraId="33D07E35" w14:textId="77777777" w:rsidR="009E66E9" w:rsidRDefault="009E66E9" w:rsidP="00F423B4">
            <w:pPr>
              <w:spacing w:after="60"/>
              <w:jc w:val="center"/>
              <w:rPr>
                <w:lang w:val="is-IS"/>
              </w:rPr>
            </w:pPr>
            <w:r>
              <w:rPr>
                <w:lang w:val="is-IS"/>
              </w:rPr>
              <w:t>&gt;1,60</w:t>
            </w:r>
          </w:p>
        </w:tc>
      </w:tr>
      <w:tr w:rsidR="009E66E9" w14:paraId="33D07E3B" w14:textId="77777777" w:rsidTr="00C45043">
        <w:trPr>
          <w:jc w:val="center"/>
        </w:trPr>
        <w:tc>
          <w:tcPr>
            <w:tcW w:w="2160" w:type="dxa"/>
            <w:shd w:val="clear" w:color="auto" w:fill="D9E2F3" w:themeFill="accent5" w:themeFillTint="33"/>
          </w:tcPr>
          <w:p w14:paraId="33D07E37" w14:textId="77777777" w:rsidR="009E66E9" w:rsidRDefault="009E66E9" w:rsidP="00F423B4">
            <w:pPr>
              <w:spacing w:after="60"/>
              <w:jc w:val="both"/>
              <w:rPr>
                <w:lang w:val="is-IS"/>
              </w:rPr>
            </w:pPr>
            <w:r>
              <w:rPr>
                <w:lang w:val="is-IS"/>
              </w:rPr>
              <w:t>SMA, ÁDU &gt; 15000</w:t>
            </w:r>
          </w:p>
        </w:tc>
        <w:tc>
          <w:tcPr>
            <w:tcW w:w="1026" w:type="dxa"/>
            <w:shd w:val="clear" w:color="auto" w:fill="FFF2CC" w:themeFill="accent4" w:themeFillTint="33"/>
          </w:tcPr>
          <w:p w14:paraId="33D07E38" w14:textId="77777777" w:rsidR="009E66E9" w:rsidRDefault="009E66E9" w:rsidP="00F423B4">
            <w:pPr>
              <w:spacing w:after="60"/>
              <w:jc w:val="center"/>
              <w:rPr>
                <w:lang w:val="is-IS"/>
              </w:rPr>
            </w:pPr>
            <w:r>
              <w:rPr>
                <w:lang w:val="is-IS"/>
              </w:rPr>
              <w:t>&gt;6,0</w:t>
            </w:r>
          </w:p>
        </w:tc>
        <w:tc>
          <w:tcPr>
            <w:tcW w:w="1026" w:type="dxa"/>
            <w:shd w:val="clear" w:color="auto" w:fill="FFF2CC" w:themeFill="accent4" w:themeFillTint="33"/>
          </w:tcPr>
          <w:p w14:paraId="33D07E39" w14:textId="77777777" w:rsidR="009E66E9" w:rsidRDefault="009E66E9" w:rsidP="00F423B4">
            <w:pPr>
              <w:spacing w:after="60"/>
              <w:jc w:val="center"/>
              <w:rPr>
                <w:lang w:val="is-IS"/>
              </w:rPr>
            </w:pPr>
            <w:r>
              <w:rPr>
                <w:lang w:val="is-IS"/>
              </w:rPr>
              <w:t>1,5-4,0</w:t>
            </w:r>
          </w:p>
        </w:tc>
        <w:tc>
          <w:tcPr>
            <w:tcW w:w="1026" w:type="dxa"/>
            <w:shd w:val="clear" w:color="auto" w:fill="FFF2CC" w:themeFill="accent4" w:themeFillTint="33"/>
          </w:tcPr>
          <w:p w14:paraId="33D07E3A" w14:textId="77777777" w:rsidR="009E66E9" w:rsidRDefault="009E66E9" w:rsidP="00F423B4">
            <w:pPr>
              <w:spacing w:after="60"/>
              <w:jc w:val="center"/>
              <w:rPr>
                <w:lang w:val="is-IS"/>
              </w:rPr>
            </w:pPr>
            <w:r>
              <w:rPr>
                <w:lang w:val="is-IS"/>
              </w:rPr>
              <w:t>&gt;2,30</w:t>
            </w:r>
          </w:p>
        </w:tc>
      </w:tr>
      <w:tr w:rsidR="009E66E9" w14:paraId="33D07E40" w14:textId="77777777" w:rsidTr="00C45043">
        <w:trPr>
          <w:jc w:val="center"/>
        </w:trPr>
        <w:tc>
          <w:tcPr>
            <w:tcW w:w="2160" w:type="dxa"/>
            <w:shd w:val="clear" w:color="auto" w:fill="D9E2F3" w:themeFill="accent5" w:themeFillTint="33"/>
          </w:tcPr>
          <w:p w14:paraId="33D07E3C" w14:textId="77777777" w:rsidR="009E66E9" w:rsidRDefault="009E66E9" w:rsidP="00F423B4">
            <w:pPr>
              <w:spacing w:after="60"/>
              <w:jc w:val="both"/>
              <w:rPr>
                <w:lang w:val="is-IS"/>
              </w:rPr>
            </w:pPr>
            <w:r>
              <w:rPr>
                <w:lang w:val="is-IS"/>
              </w:rPr>
              <w:t>Ag, efra burðarlag</w:t>
            </w:r>
          </w:p>
        </w:tc>
        <w:tc>
          <w:tcPr>
            <w:tcW w:w="1026" w:type="dxa"/>
            <w:shd w:val="clear" w:color="auto" w:fill="FFF2CC" w:themeFill="accent4" w:themeFillTint="33"/>
          </w:tcPr>
          <w:p w14:paraId="33D07E3D" w14:textId="77777777" w:rsidR="009E66E9" w:rsidRDefault="009E66E9" w:rsidP="00F423B4">
            <w:pPr>
              <w:spacing w:after="60"/>
              <w:jc w:val="center"/>
              <w:rPr>
                <w:lang w:val="is-IS"/>
              </w:rPr>
            </w:pPr>
            <w:r>
              <w:rPr>
                <w:lang w:val="is-IS"/>
              </w:rPr>
              <w:t>&gt;3,0</w:t>
            </w:r>
          </w:p>
        </w:tc>
        <w:tc>
          <w:tcPr>
            <w:tcW w:w="1026" w:type="dxa"/>
            <w:shd w:val="clear" w:color="auto" w:fill="FFF2CC" w:themeFill="accent4" w:themeFillTint="33"/>
          </w:tcPr>
          <w:p w14:paraId="33D07E3E" w14:textId="77777777" w:rsidR="009E66E9" w:rsidRDefault="009E66E9" w:rsidP="00F423B4">
            <w:pPr>
              <w:spacing w:after="60"/>
              <w:jc w:val="center"/>
              <w:rPr>
                <w:lang w:val="is-IS"/>
              </w:rPr>
            </w:pPr>
            <w:r>
              <w:rPr>
                <w:lang w:val="is-IS"/>
              </w:rPr>
              <w:t>-</w:t>
            </w:r>
          </w:p>
        </w:tc>
        <w:tc>
          <w:tcPr>
            <w:tcW w:w="1026" w:type="dxa"/>
            <w:shd w:val="clear" w:color="auto" w:fill="FFF2CC" w:themeFill="accent4" w:themeFillTint="33"/>
          </w:tcPr>
          <w:p w14:paraId="33D07E3F" w14:textId="77777777" w:rsidR="009E66E9" w:rsidRDefault="009E66E9" w:rsidP="00F423B4">
            <w:pPr>
              <w:spacing w:after="60"/>
              <w:jc w:val="center"/>
              <w:rPr>
                <w:lang w:val="is-IS"/>
              </w:rPr>
            </w:pPr>
            <w:r>
              <w:rPr>
                <w:lang w:val="is-IS"/>
              </w:rPr>
              <w:t>-</w:t>
            </w:r>
          </w:p>
        </w:tc>
      </w:tr>
      <w:tr w:rsidR="009E66E9" w14:paraId="33D07E45" w14:textId="77777777" w:rsidTr="00C45043">
        <w:trPr>
          <w:jc w:val="center"/>
        </w:trPr>
        <w:tc>
          <w:tcPr>
            <w:tcW w:w="2160" w:type="dxa"/>
            <w:shd w:val="clear" w:color="auto" w:fill="D9E2F3" w:themeFill="accent5" w:themeFillTint="33"/>
          </w:tcPr>
          <w:p w14:paraId="33D07E41" w14:textId="77777777" w:rsidR="009E66E9" w:rsidRDefault="009E66E9" w:rsidP="00F423B4">
            <w:pPr>
              <w:spacing w:after="60"/>
              <w:jc w:val="both"/>
              <w:rPr>
                <w:lang w:val="is-IS"/>
              </w:rPr>
            </w:pPr>
            <w:r>
              <w:rPr>
                <w:lang w:val="is-IS"/>
              </w:rPr>
              <w:t>Ag, neðra burðarlag</w:t>
            </w:r>
          </w:p>
        </w:tc>
        <w:tc>
          <w:tcPr>
            <w:tcW w:w="1026" w:type="dxa"/>
            <w:shd w:val="clear" w:color="auto" w:fill="FFF2CC" w:themeFill="accent4" w:themeFillTint="33"/>
          </w:tcPr>
          <w:p w14:paraId="33D07E42" w14:textId="77777777" w:rsidR="009E66E9" w:rsidRDefault="009E66E9" w:rsidP="00F423B4">
            <w:pPr>
              <w:spacing w:after="60"/>
              <w:jc w:val="center"/>
              <w:rPr>
                <w:lang w:val="is-IS"/>
              </w:rPr>
            </w:pPr>
            <w:r>
              <w:rPr>
                <w:lang w:val="is-IS"/>
              </w:rPr>
              <w:t>&gt;2,0</w:t>
            </w:r>
          </w:p>
        </w:tc>
        <w:tc>
          <w:tcPr>
            <w:tcW w:w="1026" w:type="dxa"/>
            <w:shd w:val="clear" w:color="auto" w:fill="FFF2CC" w:themeFill="accent4" w:themeFillTint="33"/>
          </w:tcPr>
          <w:p w14:paraId="33D07E43" w14:textId="77777777" w:rsidR="009E66E9" w:rsidRDefault="009E66E9" w:rsidP="00F423B4">
            <w:pPr>
              <w:spacing w:after="60"/>
              <w:jc w:val="center"/>
              <w:rPr>
                <w:lang w:val="is-IS"/>
              </w:rPr>
            </w:pPr>
            <w:r>
              <w:rPr>
                <w:lang w:val="is-IS"/>
              </w:rPr>
              <w:t>-</w:t>
            </w:r>
          </w:p>
        </w:tc>
        <w:tc>
          <w:tcPr>
            <w:tcW w:w="1026" w:type="dxa"/>
            <w:shd w:val="clear" w:color="auto" w:fill="FFF2CC" w:themeFill="accent4" w:themeFillTint="33"/>
          </w:tcPr>
          <w:p w14:paraId="33D07E44" w14:textId="77777777" w:rsidR="009E66E9" w:rsidRDefault="009E66E9" w:rsidP="00F423B4">
            <w:pPr>
              <w:spacing w:after="60"/>
              <w:jc w:val="center"/>
              <w:rPr>
                <w:lang w:val="is-IS"/>
              </w:rPr>
            </w:pPr>
            <w:r>
              <w:rPr>
                <w:lang w:val="is-IS"/>
              </w:rPr>
              <w:t>-</w:t>
            </w:r>
          </w:p>
        </w:tc>
      </w:tr>
    </w:tbl>
    <w:p w14:paraId="33D07E46" w14:textId="77777777" w:rsidR="009E66E9" w:rsidRDefault="009E66E9" w:rsidP="009E66E9">
      <w:pPr>
        <w:jc w:val="both"/>
        <w:rPr>
          <w:lang w:val="is-IS"/>
        </w:rPr>
      </w:pPr>
      <w:r>
        <w:rPr>
          <w:lang w:val="is-IS"/>
        </w:rPr>
        <w:t xml:space="preserve">Í norskum verklýsingum </w:t>
      </w:r>
      <w:r w:rsidR="002A03FF">
        <w:rPr>
          <w:lang w:val="is-IS"/>
        </w:rPr>
        <w:t>[</w:t>
      </w:r>
      <w:r>
        <w:rPr>
          <w:lang w:val="is-IS"/>
        </w:rPr>
        <w:t>Statens vegvesen 2005, bls. 218 og 283-284</w:t>
      </w:r>
      <w:r w:rsidR="002A03FF">
        <w:rPr>
          <w:lang w:val="is-IS"/>
        </w:rPr>
        <w:t>]</w:t>
      </w:r>
      <w:r>
        <w:rPr>
          <w:lang w:val="is-IS"/>
        </w:rPr>
        <w:t xml:space="preserve"> eru gerðar kröfur til festu, sigs og stífni. Kröfurnar eru mismunandi eftir umferð, sjá töflu 1, og eru miðaðar við 75 högga þjöppun í Marshallprófi (venjulegra er að miða við 50 högg).</w:t>
      </w:r>
    </w:p>
    <w:p w14:paraId="33D07E47" w14:textId="77777777" w:rsidR="009E66E9" w:rsidRPr="008D3499" w:rsidRDefault="009E66E9" w:rsidP="009E66E9">
      <w:pPr>
        <w:ind w:firstLine="340"/>
        <w:jc w:val="both"/>
        <w:rPr>
          <w:color w:val="FF0000"/>
          <w:lang w:val="is-IS"/>
        </w:rPr>
      </w:pPr>
      <w:r>
        <w:rPr>
          <w:lang w:val="is-IS"/>
        </w:rPr>
        <w:t xml:space="preserve">Í sænskum verklýsingum </w:t>
      </w:r>
      <w:r w:rsidR="002A03FF">
        <w:rPr>
          <w:lang w:val="is-IS"/>
        </w:rPr>
        <w:t>[</w:t>
      </w:r>
      <w:r>
        <w:rPr>
          <w:lang w:val="is-IS"/>
        </w:rPr>
        <w:t>Vägverket 2005, bls. 13-19</w:t>
      </w:r>
      <w:r w:rsidR="002A03FF">
        <w:rPr>
          <w:lang w:val="is-IS"/>
        </w:rPr>
        <w:t>]</w:t>
      </w:r>
      <w:r>
        <w:rPr>
          <w:lang w:val="is-IS"/>
        </w:rPr>
        <w:t xml:space="preserve"> eru ekki gerðar kröfur til festu eða sigs (þar er Marshallaðferðin eingöngu notuð sem hjálpartæki við ákvörðun á holrýmdareiginleikum malbiksins). Kröfur um skriðmótstöðu er aðeins gerðar til bindilags og þá er einásapróf með sveifluálagi notað til að meta hana </w:t>
      </w:r>
      <w:r w:rsidR="002A03FF">
        <w:rPr>
          <w:lang w:val="is-IS"/>
        </w:rPr>
        <w:t>[</w:t>
      </w:r>
      <w:r>
        <w:rPr>
          <w:lang w:val="is-IS"/>
        </w:rPr>
        <w:t>Vägverket 2005, bls. 12</w:t>
      </w:r>
      <w:r w:rsidR="002A03FF">
        <w:rPr>
          <w:lang w:val="is-IS"/>
        </w:rPr>
        <w:t>]</w:t>
      </w:r>
      <w:r>
        <w:rPr>
          <w:lang w:val="is-IS"/>
        </w:rPr>
        <w:t>.</w:t>
      </w:r>
    </w:p>
    <w:p w14:paraId="33D07E48" w14:textId="77777777" w:rsidR="009E66E9" w:rsidRPr="00497D1C" w:rsidRDefault="009E66E9" w:rsidP="001D10CA">
      <w:pPr>
        <w:ind w:firstLine="342"/>
        <w:jc w:val="both"/>
        <w:rPr>
          <w:lang w:val="is-IS"/>
        </w:rPr>
      </w:pPr>
      <w:r>
        <w:rPr>
          <w:lang w:val="is-IS"/>
        </w:rPr>
        <w:t xml:space="preserve">Finnskar verklýsingar </w:t>
      </w:r>
      <w:r w:rsidR="002A03FF">
        <w:rPr>
          <w:lang w:val="is-IS"/>
        </w:rPr>
        <w:t>[</w:t>
      </w:r>
      <w:r>
        <w:rPr>
          <w:lang w:val="is-IS"/>
        </w:rPr>
        <w:t>PANK 2000</w:t>
      </w:r>
      <w:r w:rsidR="002A03FF">
        <w:rPr>
          <w:lang w:val="is-IS"/>
        </w:rPr>
        <w:t>]</w:t>
      </w:r>
      <w:r>
        <w:rPr>
          <w:lang w:val="is-IS"/>
        </w:rPr>
        <w:t xml:space="preserve"> gera ekki ráð fyrir mælingum á festu og sigi. Þess í stað er mótstaða gegn skriði metin með hjólfaraprófi </w:t>
      </w:r>
      <w:r w:rsidR="002A03FF">
        <w:rPr>
          <w:lang w:val="is-IS"/>
        </w:rPr>
        <w:t>(</w:t>
      </w:r>
      <w:r w:rsidR="00660FBB">
        <w:rPr>
          <w:lang w:val="is-IS"/>
        </w:rPr>
        <w:t xml:space="preserve">e. </w:t>
      </w:r>
      <w:r>
        <w:rPr>
          <w:lang w:val="is-IS"/>
        </w:rPr>
        <w:t>wheel tracking test</w:t>
      </w:r>
      <w:r w:rsidR="002A03FF">
        <w:rPr>
          <w:lang w:val="is-IS"/>
        </w:rPr>
        <w:t>)</w:t>
      </w:r>
      <w:r>
        <w:rPr>
          <w:lang w:val="is-IS"/>
        </w:rPr>
        <w:t xml:space="preserve"> eða skriðprófi </w:t>
      </w:r>
      <w:r w:rsidR="002A03FF">
        <w:rPr>
          <w:lang w:val="is-IS"/>
        </w:rPr>
        <w:t>(</w:t>
      </w:r>
      <w:r w:rsidR="00660FBB">
        <w:rPr>
          <w:lang w:val="is-IS"/>
        </w:rPr>
        <w:t xml:space="preserve">e. </w:t>
      </w:r>
      <w:r>
        <w:rPr>
          <w:lang w:val="is-IS"/>
        </w:rPr>
        <w:t>repeated load creep test</w:t>
      </w:r>
      <w:r w:rsidR="002A03FF">
        <w:rPr>
          <w:lang w:val="is-IS"/>
        </w:rPr>
        <w:t>)</w:t>
      </w:r>
      <w:r>
        <w:rPr>
          <w:lang w:val="is-IS"/>
        </w:rPr>
        <w:t>.</w:t>
      </w:r>
    </w:p>
    <w:p w14:paraId="33D07E49" w14:textId="7F8F1BD2" w:rsidR="009E66E9" w:rsidRDefault="009E66E9" w:rsidP="00707725">
      <w:pPr>
        <w:ind w:firstLine="340"/>
        <w:jc w:val="both"/>
        <w:rPr>
          <w:lang w:val="is-IS"/>
        </w:rPr>
      </w:pPr>
      <w:r>
        <w:rPr>
          <w:lang w:val="is-IS"/>
        </w:rPr>
        <w:t xml:space="preserve">Í </w:t>
      </w:r>
      <w:r w:rsidR="00660FBB">
        <w:rPr>
          <w:lang w:val="is-IS"/>
        </w:rPr>
        <w:t>Efnisgæðaritinu</w:t>
      </w:r>
      <w:r>
        <w:rPr>
          <w:lang w:val="is-IS"/>
        </w:rPr>
        <w:t xml:space="preserve"> eru </w:t>
      </w:r>
      <w:r w:rsidR="00660FBB">
        <w:rPr>
          <w:lang w:val="is-IS"/>
        </w:rPr>
        <w:t>settar fram leiðbeinandi hönnunar</w:t>
      </w:r>
      <w:r>
        <w:rPr>
          <w:lang w:val="is-IS"/>
        </w:rPr>
        <w:t xml:space="preserve">kröfur um festu, sig og stífni eftir þjöppun í Marshallprófi með 50 höggum, sjá </w:t>
      </w:r>
      <w:r w:rsidR="00660FBB">
        <w:rPr>
          <w:lang w:val="is-IS"/>
        </w:rPr>
        <w:t xml:space="preserve">úrdrátt úr töflu 64-15 í </w:t>
      </w:r>
      <w:r>
        <w:rPr>
          <w:lang w:val="is-IS"/>
        </w:rPr>
        <w:t>töflu 2</w:t>
      </w:r>
      <w:r w:rsidR="00660FBB">
        <w:rPr>
          <w:lang w:val="is-IS"/>
        </w:rPr>
        <w:t xml:space="preserve"> hér að neðan</w:t>
      </w:r>
      <w:r>
        <w:rPr>
          <w:lang w:val="is-IS"/>
        </w:rPr>
        <w:t>.</w:t>
      </w:r>
      <w:r w:rsidR="00660FBB">
        <w:rPr>
          <w:lang w:val="is-IS"/>
        </w:rPr>
        <w:t xml:space="preserve"> Hér er </w:t>
      </w:r>
      <w:r w:rsidR="00660FBB">
        <w:rPr>
          <w:lang w:val="is-IS"/>
        </w:rPr>
        <w:lastRenderedPageBreak/>
        <w:t>sem sagt ekki um eiginlegar kröfur að ræða, heldur einungis leiðbeiningar fyrir framleiðendur malbiks, ef þeir vilja á annað borð notast við Marshallprófið. Í staðinn hafa verið teknar upp kröfur við gerðarprófanir á mismunandi malbiks</w:t>
      </w:r>
      <w:r w:rsidR="007F2388">
        <w:rPr>
          <w:lang w:val="is-IS"/>
        </w:rPr>
        <w:t>forskriftum og þar sem umferð er mikil skal í þeim prófunum gera hjólfarapróf, Prall slitþolspróf og vatnsnæmipróf, auk hefðbundinna holrýmdar- og rúmþyngdamælinga</w:t>
      </w:r>
      <w:r w:rsidR="00611FD5">
        <w:rPr>
          <w:lang w:val="is-IS"/>
        </w:rPr>
        <w:t>.</w:t>
      </w:r>
    </w:p>
    <w:p w14:paraId="33D07E4A" w14:textId="77777777" w:rsidR="009E66E9" w:rsidRDefault="009E66E9" w:rsidP="00707725">
      <w:pPr>
        <w:jc w:val="both"/>
        <w:rPr>
          <w:lang w:val="is-IS"/>
        </w:rPr>
      </w:pPr>
    </w:p>
    <w:p w14:paraId="33D07E4B" w14:textId="20F33A1A" w:rsidR="009E66E9" w:rsidRPr="00707725" w:rsidRDefault="009E66E9" w:rsidP="00707725">
      <w:pPr>
        <w:spacing w:after="60"/>
        <w:ind w:left="1537" w:right="1571"/>
        <w:jc w:val="center"/>
        <w:rPr>
          <w:sz w:val="20"/>
          <w:lang w:val="is-IS"/>
        </w:rPr>
      </w:pPr>
      <w:r w:rsidRPr="00D024EC">
        <w:rPr>
          <w:b/>
          <w:sz w:val="20"/>
          <w:lang w:val="is-IS"/>
        </w:rPr>
        <w:t xml:space="preserve"> </w:t>
      </w:r>
      <w:r w:rsidRPr="00F12493">
        <w:rPr>
          <w:b/>
          <w:sz w:val="20"/>
          <w:lang w:val="is-IS"/>
        </w:rPr>
        <w:t xml:space="preserve">Tafla </w:t>
      </w:r>
      <w:r>
        <w:rPr>
          <w:b/>
          <w:sz w:val="20"/>
          <w:lang w:val="is-IS"/>
        </w:rPr>
        <w:t>2</w:t>
      </w:r>
      <w:r w:rsidRPr="00F12493">
        <w:rPr>
          <w:b/>
          <w:sz w:val="20"/>
          <w:lang w:val="is-IS"/>
        </w:rPr>
        <w:t xml:space="preserve">. </w:t>
      </w:r>
      <w:r w:rsidRPr="00707725">
        <w:rPr>
          <w:sz w:val="20"/>
          <w:lang w:val="is-IS"/>
        </w:rPr>
        <w:t xml:space="preserve">Kröfur til festu, sigs og stífni </w:t>
      </w:r>
      <w:r w:rsidR="00670514">
        <w:rPr>
          <w:sz w:val="20"/>
          <w:lang w:val="is-IS"/>
        </w:rPr>
        <w:t xml:space="preserve">malbiks </w:t>
      </w:r>
      <w:r w:rsidRPr="00707725">
        <w:rPr>
          <w:sz w:val="20"/>
          <w:lang w:val="is-IS"/>
        </w:rPr>
        <w:t xml:space="preserve">í </w:t>
      </w:r>
      <w:r w:rsidR="00F23386">
        <w:rPr>
          <w:sz w:val="20"/>
          <w:lang w:val="is-IS"/>
        </w:rPr>
        <w:t>Efnisgæðaritinu</w:t>
      </w:r>
      <w:r w:rsidRPr="00707725">
        <w:rPr>
          <w:sz w:val="20"/>
          <w:lang w:val="is-IS"/>
        </w:rPr>
        <w:t>.</w:t>
      </w:r>
    </w:p>
    <w:tbl>
      <w:tblPr>
        <w:tblStyle w:val="TableGrid"/>
        <w:tblW w:w="0" w:type="auto"/>
        <w:jc w:val="center"/>
        <w:tblLook w:val="01E0" w:firstRow="1" w:lastRow="1" w:firstColumn="1" w:lastColumn="1" w:noHBand="0" w:noVBand="0"/>
      </w:tblPr>
      <w:tblGrid>
        <w:gridCol w:w="2777"/>
        <w:gridCol w:w="1067"/>
        <w:gridCol w:w="1034"/>
        <w:gridCol w:w="1197"/>
      </w:tblGrid>
      <w:tr w:rsidR="009E66E9" w14:paraId="33D07E54" w14:textId="77777777" w:rsidTr="00C45043">
        <w:trPr>
          <w:jc w:val="center"/>
        </w:trPr>
        <w:tc>
          <w:tcPr>
            <w:tcW w:w="2777" w:type="dxa"/>
            <w:shd w:val="clear" w:color="auto" w:fill="D9E2F3" w:themeFill="accent5" w:themeFillTint="33"/>
          </w:tcPr>
          <w:p w14:paraId="33D07E4C" w14:textId="77777777" w:rsidR="00670514" w:rsidRDefault="00670514" w:rsidP="00F423B4">
            <w:pPr>
              <w:spacing w:after="60"/>
              <w:jc w:val="both"/>
              <w:rPr>
                <w:b/>
                <w:lang w:val="is-IS"/>
              </w:rPr>
            </w:pPr>
          </w:p>
          <w:p w14:paraId="33D07E4D" w14:textId="77777777" w:rsidR="00670514" w:rsidRPr="002A03FF" w:rsidRDefault="00C8064E" w:rsidP="00F423B4">
            <w:pPr>
              <w:spacing w:after="60"/>
              <w:jc w:val="both"/>
              <w:rPr>
                <w:b/>
                <w:lang w:val="is-IS"/>
              </w:rPr>
            </w:pPr>
            <w:r>
              <w:rPr>
                <w:b/>
                <w:lang w:val="is-IS"/>
              </w:rPr>
              <w:t>Malbiksgerð</w:t>
            </w:r>
          </w:p>
        </w:tc>
        <w:tc>
          <w:tcPr>
            <w:tcW w:w="1067" w:type="dxa"/>
            <w:shd w:val="clear" w:color="auto" w:fill="D9E2F3" w:themeFill="accent5" w:themeFillTint="33"/>
          </w:tcPr>
          <w:p w14:paraId="33D07E4E" w14:textId="77777777" w:rsidR="009E66E9" w:rsidRPr="002A03FF" w:rsidRDefault="009E66E9" w:rsidP="00F423B4">
            <w:pPr>
              <w:jc w:val="center"/>
              <w:rPr>
                <w:b/>
                <w:lang w:val="is-IS"/>
              </w:rPr>
            </w:pPr>
            <w:r w:rsidRPr="002A03FF">
              <w:rPr>
                <w:b/>
                <w:lang w:val="is-IS"/>
              </w:rPr>
              <w:t>Festa</w:t>
            </w:r>
          </w:p>
          <w:p w14:paraId="33D07E4F" w14:textId="77777777" w:rsidR="009E66E9" w:rsidRPr="002A03FF" w:rsidRDefault="009E66E9" w:rsidP="00F423B4">
            <w:pPr>
              <w:jc w:val="center"/>
              <w:rPr>
                <w:b/>
                <w:lang w:val="is-IS"/>
              </w:rPr>
            </w:pPr>
            <w:r w:rsidRPr="002A03FF">
              <w:rPr>
                <w:b/>
                <w:lang w:val="is-IS"/>
              </w:rPr>
              <w:t>kN</w:t>
            </w:r>
          </w:p>
        </w:tc>
        <w:tc>
          <w:tcPr>
            <w:tcW w:w="1034" w:type="dxa"/>
            <w:shd w:val="clear" w:color="auto" w:fill="D9E2F3" w:themeFill="accent5" w:themeFillTint="33"/>
          </w:tcPr>
          <w:p w14:paraId="33D07E50" w14:textId="77777777" w:rsidR="009E66E9" w:rsidRPr="002A03FF" w:rsidRDefault="009E66E9" w:rsidP="00F423B4">
            <w:pPr>
              <w:jc w:val="center"/>
              <w:rPr>
                <w:b/>
                <w:lang w:val="is-IS"/>
              </w:rPr>
            </w:pPr>
            <w:r w:rsidRPr="002A03FF">
              <w:rPr>
                <w:b/>
                <w:lang w:val="is-IS"/>
              </w:rPr>
              <w:t>Sig</w:t>
            </w:r>
          </w:p>
          <w:p w14:paraId="33D07E51" w14:textId="77777777" w:rsidR="009E66E9" w:rsidRPr="002A03FF" w:rsidRDefault="009E66E9" w:rsidP="00F423B4">
            <w:pPr>
              <w:jc w:val="center"/>
              <w:rPr>
                <w:b/>
                <w:lang w:val="is-IS"/>
              </w:rPr>
            </w:pPr>
            <w:r w:rsidRPr="002A03FF">
              <w:rPr>
                <w:b/>
                <w:lang w:val="is-IS"/>
              </w:rPr>
              <w:t>mm</w:t>
            </w:r>
          </w:p>
        </w:tc>
        <w:tc>
          <w:tcPr>
            <w:tcW w:w="1197" w:type="dxa"/>
            <w:shd w:val="clear" w:color="auto" w:fill="D9E2F3" w:themeFill="accent5" w:themeFillTint="33"/>
          </w:tcPr>
          <w:p w14:paraId="33D07E52" w14:textId="77777777" w:rsidR="009E66E9" w:rsidRPr="002A03FF" w:rsidRDefault="009E66E9" w:rsidP="00F423B4">
            <w:pPr>
              <w:jc w:val="center"/>
              <w:rPr>
                <w:b/>
                <w:lang w:val="is-IS"/>
              </w:rPr>
            </w:pPr>
            <w:r w:rsidRPr="002A03FF">
              <w:rPr>
                <w:b/>
                <w:lang w:val="is-IS"/>
              </w:rPr>
              <w:t>Festa/sig</w:t>
            </w:r>
          </w:p>
          <w:p w14:paraId="33D07E53" w14:textId="77777777" w:rsidR="009E66E9" w:rsidRPr="002A03FF" w:rsidRDefault="009E66E9" w:rsidP="00F423B4">
            <w:pPr>
              <w:jc w:val="center"/>
              <w:rPr>
                <w:b/>
                <w:lang w:val="is-IS"/>
              </w:rPr>
            </w:pPr>
            <w:r w:rsidRPr="002A03FF">
              <w:rPr>
                <w:b/>
                <w:lang w:val="is-IS"/>
              </w:rPr>
              <w:t>kN/mm</w:t>
            </w:r>
          </w:p>
        </w:tc>
      </w:tr>
      <w:tr w:rsidR="009E66E9" w14:paraId="33D07E59" w14:textId="77777777" w:rsidTr="00C45043">
        <w:trPr>
          <w:jc w:val="center"/>
        </w:trPr>
        <w:tc>
          <w:tcPr>
            <w:tcW w:w="2777" w:type="dxa"/>
            <w:shd w:val="clear" w:color="auto" w:fill="D9E2F3" w:themeFill="accent5" w:themeFillTint="33"/>
          </w:tcPr>
          <w:p w14:paraId="33D07E55" w14:textId="5C7BE17C" w:rsidR="009E66E9" w:rsidRDefault="00670514" w:rsidP="00660FBB">
            <w:pPr>
              <w:spacing w:after="60"/>
              <w:rPr>
                <w:lang w:val="is-IS"/>
              </w:rPr>
            </w:pPr>
            <w:r>
              <w:rPr>
                <w:lang w:val="is-IS"/>
              </w:rPr>
              <w:t>S</w:t>
            </w:r>
            <w:r w:rsidR="00660FBB">
              <w:rPr>
                <w:lang w:val="is-IS"/>
              </w:rPr>
              <w:t>tífmalbik (AC) og steinríkt malbik (SMA)</w:t>
            </w:r>
          </w:p>
        </w:tc>
        <w:tc>
          <w:tcPr>
            <w:tcW w:w="1067" w:type="dxa"/>
            <w:shd w:val="clear" w:color="auto" w:fill="FFF2CC" w:themeFill="accent4" w:themeFillTint="33"/>
          </w:tcPr>
          <w:p w14:paraId="33D07E56" w14:textId="19089C83" w:rsidR="009E66E9" w:rsidRDefault="009E66E9" w:rsidP="00F423B4">
            <w:pPr>
              <w:spacing w:after="60"/>
              <w:jc w:val="center"/>
              <w:rPr>
                <w:lang w:val="is-IS"/>
              </w:rPr>
            </w:pPr>
            <w:r>
              <w:rPr>
                <w:lang w:val="is-IS"/>
              </w:rPr>
              <w:t xml:space="preserve">≥ </w:t>
            </w:r>
            <w:r w:rsidR="00660FBB">
              <w:rPr>
                <w:lang w:val="is-IS"/>
              </w:rPr>
              <w:t>5,0</w:t>
            </w:r>
          </w:p>
        </w:tc>
        <w:tc>
          <w:tcPr>
            <w:tcW w:w="1034" w:type="dxa"/>
            <w:shd w:val="clear" w:color="auto" w:fill="FFF2CC" w:themeFill="accent4" w:themeFillTint="33"/>
          </w:tcPr>
          <w:p w14:paraId="33D07E57" w14:textId="7A69069B" w:rsidR="009E66E9" w:rsidRDefault="009E66E9" w:rsidP="00F423B4">
            <w:pPr>
              <w:spacing w:after="60"/>
              <w:jc w:val="center"/>
              <w:rPr>
                <w:lang w:val="is-IS"/>
              </w:rPr>
            </w:pPr>
            <w:r>
              <w:rPr>
                <w:lang w:val="is-IS"/>
              </w:rPr>
              <w:t>1,5-</w:t>
            </w:r>
            <w:r w:rsidR="00660FBB">
              <w:rPr>
                <w:lang w:val="is-IS"/>
              </w:rPr>
              <w:t>5</w:t>
            </w:r>
            <w:r>
              <w:rPr>
                <w:lang w:val="is-IS"/>
              </w:rPr>
              <w:t>,0</w:t>
            </w:r>
          </w:p>
        </w:tc>
        <w:tc>
          <w:tcPr>
            <w:tcW w:w="1197" w:type="dxa"/>
            <w:shd w:val="clear" w:color="auto" w:fill="FFF2CC" w:themeFill="accent4" w:themeFillTint="33"/>
          </w:tcPr>
          <w:p w14:paraId="33D07E58" w14:textId="2A2F7147" w:rsidR="009E66E9" w:rsidRDefault="00660FBB" w:rsidP="00660FBB">
            <w:pPr>
              <w:spacing w:after="60"/>
              <w:jc w:val="center"/>
              <w:rPr>
                <w:lang w:val="is-IS"/>
              </w:rPr>
            </w:pPr>
            <w:r>
              <w:rPr>
                <w:lang w:val="is-IS"/>
              </w:rPr>
              <w:t>&gt;</w:t>
            </w:r>
            <w:r w:rsidR="009E66E9">
              <w:rPr>
                <w:lang w:val="is-IS"/>
              </w:rPr>
              <w:t>1,0</w:t>
            </w:r>
          </w:p>
        </w:tc>
      </w:tr>
      <w:tr w:rsidR="009E66E9" w14:paraId="33D07E5E" w14:textId="77777777" w:rsidTr="00C45043">
        <w:trPr>
          <w:jc w:val="center"/>
        </w:trPr>
        <w:tc>
          <w:tcPr>
            <w:tcW w:w="2777" w:type="dxa"/>
            <w:shd w:val="clear" w:color="auto" w:fill="D9E2F3" w:themeFill="accent5" w:themeFillTint="33"/>
          </w:tcPr>
          <w:p w14:paraId="33D07E5A" w14:textId="6421B7EF" w:rsidR="009E66E9" w:rsidRDefault="00660FBB" w:rsidP="00660FBB">
            <w:pPr>
              <w:spacing w:after="60"/>
              <w:jc w:val="both"/>
              <w:rPr>
                <w:lang w:val="is-IS"/>
              </w:rPr>
            </w:pPr>
            <w:r>
              <w:rPr>
                <w:lang w:val="is-IS"/>
              </w:rPr>
              <w:t>Burðar</w:t>
            </w:r>
            <w:r w:rsidR="009E66E9">
              <w:rPr>
                <w:lang w:val="is-IS"/>
              </w:rPr>
              <w:t>lag</w:t>
            </w:r>
            <w:r w:rsidR="00670514">
              <w:rPr>
                <w:lang w:val="is-IS"/>
              </w:rPr>
              <w:t>smalbik</w:t>
            </w:r>
          </w:p>
        </w:tc>
        <w:tc>
          <w:tcPr>
            <w:tcW w:w="1067" w:type="dxa"/>
            <w:shd w:val="clear" w:color="auto" w:fill="FFF2CC" w:themeFill="accent4" w:themeFillTint="33"/>
          </w:tcPr>
          <w:p w14:paraId="33D07E5B" w14:textId="77777777" w:rsidR="009E66E9" w:rsidRDefault="009E66E9" w:rsidP="00F423B4">
            <w:pPr>
              <w:spacing w:after="60"/>
              <w:jc w:val="center"/>
              <w:rPr>
                <w:lang w:val="is-IS"/>
              </w:rPr>
            </w:pPr>
            <w:r>
              <w:rPr>
                <w:lang w:val="is-IS"/>
              </w:rPr>
              <w:t>≥ 3,5</w:t>
            </w:r>
          </w:p>
        </w:tc>
        <w:tc>
          <w:tcPr>
            <w:tcW w:w="1034" w:type="dxa"/>
            <w:shd w:val="clear" w:color="auto" w:fill="FFF2CC" w:themeFill="accent4" w:themeFillTint="33"/>
          </w:tcPr>
          <w:p w14:paraId="33D07E5C" w14:textId="457D8490" w:rsidR="009E66E9" w:rsidRDefault="009E66E9" w:rsidP="00F423B4">
            <w:pPr>
              <w:spacing w:after="60"/>
              <w:jc w:val="center"/>
              <w:rPr>
                <w:lang w:val="is-IS"/>
              </w:rPr>
            </w:pPr>
            <w:r>
              <w:rPr>
                <w:lang w:val="is-IS"/>
              </w:rPr>
              <w:t>1,</w:t>
            </w:r>
            <w:r w:rsidR="00660FBB">
              <w:rPr>
                <w:lang w:val="is-IS"/>
              </w:rPr>
              <w:t>0</w:t>
            </w:r>
            <w:r>
              <w:rPr>
                <w:lang w:val="is-IS"/>
              </w:rPr>
              <w:t>-</w:t>
            </w:r>
            <w:r w:rsidR="00660FBB">
              <w:rPr>
                <w:lang w:val="is-IS"/>
              </w:rPr>
              <w:t>5</w:t>
            </w:r>
            <w:r>
              <w:rPr>
                <w:lang w:val="is-IS"/>
              </w:rPr>
              <w:t>,0</w:t>
            </w:r>
          </w:p>
        </w:tc>
        <w:tc>
          <w:tcPr>
            <w:tcW w:w="1197" w:type="dxa"/>
            <w:shd w:val="clear" w:color="auto" w:fill="FFF2CC" w:themeFill="accent4" w:themeFillTint="33"/>
          </w:tcPr>
          <w:p w14:paraId="33D07E5D" w14:textId="7B535243" w:rsidR="009E66E9" w:rsidRDefault="00660FBB" w:rsidP="00F423B4">
            <w:pPr>
              <w:spacing w:after="60"/>
              <w:jc w:val="center"/>
              <w:rPr>
                <w:lang w:val="is-IS"/>
              </w:rPr>
            </w:pPr>
            <w:r>
              <w:rPr>
                <w:lang w:val="is-IS"/>
              </w:rPr>
              <w:t>-</w:t>
            </w:r>
          </w:p>
        </w:tc>
      </w:tr>
    </w:tbl>
    <w:p w14:paraId="33D07E5F" w14:textId="77777777" w:rsidR="009E66E9" w:rsidRDefault="009E66E9" w:rsidP="009E66E9">
      <w:pPr>
        <w:spacing w:after="60"/>
        <w:jc w:val="both"/>
        <w:rPr>
          <w:lang w:val="is-IS"/>
        </w:rPr>
      </w:pPr>
    </w:p>
    <w:p w14:paraId="33D07E60" w14:textId="5EB0582C" w:rsidR="009E66E9" w:rsidRDefault="009E66E9" w:rsidP="009E66E9">
      <w:pPr>
        <w:jc w:val="both"/>
        <w:rPr>
          <w:szCs w:val="22"/>
          <w:lang w:val="is-IS"/>
        </w:rPr>
      </w:pPr>
      <w:r>
        <w:rPr>
          <w:lang w:val="is-IS"/>
        </w:rPr>
        <w:t xml:space="preserve">Í staðli fyrir hefðbundið </w:t>
      </w:r>
      <w:r w:rsidR="00660FBB">
        <w:rPr>
          <w:lang w:val="is-IS"/>
        </w:rPr>
        <w:t>stíf</w:t>
      </w:r>
      <w:r>
        <w:rPr>
          <w:lang w:val="is-IS"/>
        </w:rPr>
        <w:t xml:space="preserve">malbik </w:t>
      </w:r>
      <w:r w:rsidR="002A03FF">
        <w:rPr>
          <w:lang w:val="is-IS"/>
        </w:rPr>
        <w:t>(</w:t>
      </w:r>
      <w:r w:rsidR="00660FBB">
        <w:rPr>
          <w:lang w:val="is-IS"/>
        </w:rPr>
        <w:t xml:space="preserve">e. </w:t>
      </w:r>
      <w:r>
        <w:rPr>
          <w:lang w:val="is-IS"/>
        </w:rPr>
        <w:t>asphalt concrete</w:t>
      </w:r>
      <w:r w:rsidR="002A03FF">
        <w:rPr>
          <w:lang w:val="is-IS"/>
        </w:rPr>
        <w:t>)</w:t>
      </w:r>
      <w:r>
        <w:rPr>
          <w:lang w:val="is-IS"/>
        </w:rPr>
        <w:t xml:space="preserve"> </w:t>
      </w:r>
      <w:r w:rsidR="002A03FF">
        <w:rPr>
          <w:szCs w:val="22"/>
          <w:lang w:val="is-IS"/>
        </w:rPr>
        <w:t>[</w:t>
      </w:r>
      <w:r>
        <w:rPr>
          <w:szCs w:val="22"/>
          <w:lang w:val="is-IS"/>
        </w:rPr>
        <w:t xml:space="preserve">ÍST </w:t>
      </w:r>
      <w:r w:rsidRPr="00E95A14">
        <w:rPr>
          <w:szCs w:val="22"/>
          <w:lang w:val="is-IS"/>
        </w:rPr>
        <w:t>EN 13108-1</w:t>
      </w:r>
      <w:r w:rsidR="002A03FF">
        <w:rPr>
          <w:szCs w:val="22"/>
          <w:lang w:val="is-IS"/>
        </w:rPr>
        <w:t>]</w:t>
      </w:r>
      <w:r w:rsidRPr="00E95A14">
        <w:rPr>
          <w:szCs w:val="22"/>
          <w:lang w:val="is-IS"/>
        </w:rPr>
        <w:t xml:space="preserve"> </w:t>
      </w:r>
      <w:r>
        <w:rPr>
          <w:szCs w:val="22"/>
          <w:lang w:val="is-IS"/>
        </w:rPr>
        <w:t xml:space="preserve">er </w:t>
      </w:r>
      <w:r w:rsidRPr="00E95A14">
        <w:rPr>
          <w:szCs w:val="22"/>
          <w:lang w:val="is-IS"/>
        </w:rPr>
        <w:t>ákvæði um festu, sig og stífni</w:t>
      </w:r>
      <w:r>
        <w:rPr>
          <w:szCs w:val="22"/>
          <w:lang w:val="is-IS"/>
        </w:rPr>
        <w:t>. Ákvæðið tekur þó því aðeins gildi að malbikið sé ætlað á flugbrautir.</w:t>
      </w:r>
      <w:r w:rsidRPr="00E95A14">
        <w:rPr>
          <w:szCs w:val="22"/>
          <w:lang w:val="is-IS"/>
        </w:rPr>
        <w:t xml:space="preserve"> </w:t>
      </w:r>
      <w:r>
        <w:rPr>
          <w:lang w:val="is-IS"/>
        </w:rPr>
        <w:t xml:space="preserve">Samsvarandi staðall fyrir </w:t>
      </w:r>
      <w:r w:rsidR="00660FBB">
        <w:rPr>
          <w:lang w:val="is-IS"/>
        </w:rPr>
        <w:t xml:space="preserve">steinríkt malbik, </w:t>
      </w:r>
      <w:r>
        <w:rPr>
          <w:lang w:val="is-IS"/>
        </w:rPr>
        <w:t xml:space="preserve">SMA </w:t>
      </w:r>
      <w:r w:rsidR="002A03FF">
        <w:rPr>
          <w:lang w:val="is-IS"/>
        </w:rPr>
        <w:t>[</w:t>
      </w:r>
      <w:r>
        <w:rPr>
          <w:szCs w:val="22"/>
          <w:lang w:val="is-IS"/>
        </w:rPr>
        <w:t xml:space="preserve">ÍST </w:t>
      </w:r>
      <w:r w:rsidRPr="004052CF">
        <w:rPr>
          <w:szCs w:val="22"/>
          <w:lang w:val="is-IS"/>
        </w:rPr>
        <w:t>EN 13108-5</w:t>
      </w:r>
      <w:r w:rsidR="002A03FF">
        <w:rPr>
          <w:szCs w:val="22"/>
          <w:lang w:val="is-IS"/>
        </w:rPr>
        <w:t>]</w:t>
      </w:r>
      <w:r>
        <w:rPr>
          <w:szCs w:val="22"/>
          <w:lang w:val="is-IS"/>
        </w:rPr>
        <w:t xml:space="preserve"> hefur engin ákvæði um festu, sig og stífni. Hins vegar eru ákvæði í báðum stöðlum u</w:t>
      </w:r>
      <w:r w:rsidR="001F0FB6">
        <w:rPr>
          <w:szCs w:val="22"/>
          <w:lang w:val="is-IS"/>
        </w:rPr>
        <w:t>m prófun á mótstöðu gegn skriði</w:t>
      </w:r>
      <w:r>
        <w:rPr>
          <w:szCs w:val="22"/>
          <w:lang w:val="is-IS"/>
        </w:rPr>
        <w:t xml:space="preserve"> með hjólfaraprófi </w:t>
      </w:r>
      <w:r w:rsidR="002A03FF">
        <w:rPr>
          <w:szCs w:val="22"/>
          <w:lang w:val="is-IS"/>
        </w:rPr>
        <w:t>(</w:t>
      </w:r>
      <w:r w:rsidR="00660FBB">
        <w:rPr>
          <w:szCs w:val="22"/>
          <w:lang w:val="is-IS"/>
        </w:rPr>
        <w:t xml:space="preserve">e. </w:t>
      </w:r>
      <w:r>
        <w:rPr>
          <w:szCs w:val="22"/>
          <w:lang w:val="is-IS"/>
        </w:rPr>
        <w:t>wheel tracking test</w:t>
      </w:r>
      <w:r w:rsidR="002A03FF">
        <w:rPr>
          <w:szCs w:val="22"/>
          <w:lang w:val="is-IS"/>
        </w:rPr>
        <w:t>)</w:t>
      </w:r>
      <w:r>
        <w:rPr>
          <w:szCs w:val="22"/>
          <w:lang w:val="is-IS"/>
        </w:rPr>
        <w:t xml:space="preserve"> </w:t>
      </w:r>
      <w:r w:rsidR="002A03FF">
        <w:rPr>
          <w:lang w:val="is-IS"/>
        </w:rPr>
        <w:t>[</w:t>
      </w:r>
      <w:r>
        <w:rPr>
          <w:szCs w:val="22"/>
          <w:lang w:val="is-IS"/>
        </w:rPr>
        <w:t xml:space="preserve">ÍST </w:t>
      </w:r>
      <w:r w:rsidRPr="00E95A14">
        <w:rPr>
          <w:szCs w:val="22"/>
          <w:lang w:val="is-IS"/>
        </w:rPr>
        <w:t>EN 13108-1</w:t>
      </w:r>
      <w:r>
        <w:rPr>
          <w:szCs w:val="22"/>
          <w:lang w:val="is-IS"/>
        </w:rPr>
        <w:t xml:space="preserve"> og ÍST </w:t>
      </w:r>
      <w:r w:rsidRPr="004052CF">
        <w:rPr>
          <w:szCs w:val="22"/>
          <w:lang w:val="is-IS"/>
        </w:rPr>
        <w:t>EN 13108-5</w:t>
      </w:r>
      <w:r w:rsidR="002A03FF">
        <w:rPr>
          <w:szCs w:val="22"/>
          <w:lang w:val="is-IS"/>
        </w:rPr>
        <w:t>]</w:t>
      </w:r>
      <w:r w:rsidRPr="004052CF">
        <w:rPr>
          <w:szCs w:val="22"/>
          <w:lang w:val="is-IS"/>
        </w:rPr>
        <w:t>.</w:t>
      </w:r>
      <w:r>
        <w:rPr>
          <w:szCs w:val="22"/>
          <w:lang w:val="is-IS"/>
        </w:rPr>
        <w:t xml:space="preserve"> </w:t>
      </w:r>
    </w:p>
    <w:p w14:paraId="33D07E61" w14:textId="173583E6" w:rsidR="009E66E9" w:rsidRDefault="009E66E9" w:rsidP="009E66E9">
      <w:pPr>
        <w:ind w:firstLine="340"/>
        <w:jc w:val="both"/>
        <w:rPr>
          <w:lang w:val="is-IS"/>
        </w:rPr>
      </w:pPr>
      <w:r w:rsidRPr="00073586">
        <w:rPr>
          <w:lang w:val="is-IS"/>
        </w:rPr>
        <w:t xml:space="preserve">Því hefur verið haldið fram að </w:t>
      </w:r>
      <w:r>
        <w:rPr>
          <w:lang w:val="is-IS"/>
        </w:rPr>
        <w:t xml:space="preserve">skrið í malbiki sé ekki til teljandi vandræða á Norðurlöndunum, nema undir sérstökum kringumstæðum svo sem á akreinum strætisvagna eða annarsstaðar þar sem umferð þungra bíla er mikil. Á hinn bóginn sé líklegt að hönnunin standi stundum tæpt (a.m.k. í Finnlandi) þannig að lítilsháttar breytingar í bindiefnisinnihaldi eða sáldurferli geti leitt til skriðs sem nemi þriðjungi eða jafnvel helmingi af hjólfaramynduninni í heild. Sömuleiðis geti hluti skriðs af hjólfaramyndun verið margfalt meiri á hlýju og sólríku sumri en í venjulegu veðurfari </w:t>
      </w:r>
      <w:r w:rsidR="002A03FF">
        <w:rPr>
          <w:lang w:val="is-IS"/>
        </w:rPr>
        <w:t>[</w:t>
      </w:r>
      <w:r>
        <w:rPr>
          <w:lang w:val="is-IS"/>
        </w:rPr>
        <w:t>NVF-33 1985, bls. 19</w:t>
      </w:r>
      <w:r w:rsidR="002A03FF">
        <w:rPr>
          <w:lang w:val="is-IS"/>
        </w:rPr>
        <w:t>]</w:t>
      </w:r>
      <w:r>
        <w:rPr>
          <w:lang w:val="is-IS"/>
        </w:rPr>
        <w:t xml:space="preserve">. </w:t>
      </w:r>
    </w:p>
    <w:p w14:paraId="33D07E64" w14:textId="77777777" w:rsidR="009E66E9" w:rsidRDefault="009E66E9" w:rsidP="008A169C">
      <w:pPr>
        <w:ind w:firstLine="340"/>
        <w:jc w:val="both"/>
        <w:rPr>
          <w:lang w:val="is-IS"/>
        </w:rPr>
      </w:pPr>
      <w:r>
        <w:rPr>
          <w:lang w:val="is-IS"/>
        </w:rPr>
        <w:t xml:space="preserve">Kröfur norsku verklýsinganna til stífni eru vægar meðan umferðin er undir 5000 ÁDU og sennilega auðvelt að uppfylla þær. Öðru máli gegnir þegar umferðin er meiri en 5000 ÁDU, sér í lagi ef </w:t>
      </w:r>
      <w:r w:rsidR="007F2388">
        <w:rPr>
          <w:lang w:val="is-IS"/>
        </w:rPr>
        <w:t>steinríkt malbik (</w:t>
      </w:r>
      <w:r>
        <w:rPr>
          <w:lang w:val="is-IS"/>
        </w:rPr>
        <w:t>SMA</w:t>
      </w:r>
      <w:r w:rsidR="007F2388">
        <w:rPr>
          <w:lang w:val="is-IS"/>
        </w:rPr>
        <w:t>)</w:t>
      </w:r>
      <w:r>
        <w:rPr>
          <w:lang w:val="is-IS"/>
        </w:rPr>
        <w:t xml:space="preserve"> á í hlut. Í þessum tilvikum er verulegum erfiðleikum bundið að uppfylla norsku kröfurnar vegna þess að sigið er hærra hérlendis en tíðkast í Noregi.  </w:t>
      </w:r>
    </w:p>
    <w:p w14:paraId="33D07E65" w14:textId="77777777" w:rsidR="009E66E9" w:rsidRDefault="009E66E9" w:rsidP="009E66E9">
      <w:pPr>
        <w:ind w:firstLine="340"/>
        <w:jc w:val="both"/>
        <w:rPr>
          <w:lang w:val="is-IS"/>
        </w:rPr>
      </w:pPr>
      <w:r>
        <w:rPr>
          <w:lang w:val="is-IS"/>
        </w:rPr>
        <w:t xml:space="preserve">Slitlaganefnd samdi á sínum tíma tillögur að kröfum fyrir festu og sig sem eru sýndar í töflu 3 </w:t>
      </w:r>
      <w:r w:rsidR="002A03FF">
        <w:rPr>
          <w:lang w:val="is-IS"/>
        </w:rPr>
        <w:t>[</w:t>
      </w:r>
      <w:r>
        <w:rPr>
          <w:lang w:val="is-IS"/>
        </w:rPr>
        <w:t>Ásbjörn Jóhannesson 2000</w:t>
      </w:r>
      <w:r w:rsidR="002A03FF">
        <w:rPr>
          <w:lang w:val="is-IS"/>
        </w:rPr>
        <w:t>]</w:t>
      </w:r>
      <w:r>
        <w:rPr>
          <w:lang w:val="is-IS"/>
        </w:rPr>
        <w:t>. Þær eru miðaðar við 50 högga þjöppun</w:t>
      </w:r>
      <w:r w:rsidR="007F2388">
        <w:rPr>
          <w:lang w:val="is-IS"/>
        </w:rPr>
        <w:t xml:space="preserve"> á hvorn enda malbikssýna</w:t>
      </w:r>
      <w:r>
        <w:rPr>
          <w:lang w:val="is-IS"/>
        </w:rPr>
        <w:t>. Nefndin lagði ekki fram tillögur að kröfum um stífni. Rétt er að benda á að krafa um 7,0 kN festu í burðarlagi sýnist vera ríflega til tekin, en hún er sótt í d</w:t>
      </w:r>
      <w:r w:rsidR="002A03FF">
        <w:rPr>
          <w:lang w:val="is-IS"/>
        </w:rPr>
        <w:t>a</w:t>
      </w:r>
      <w:r w:rsidR="001F0FB6">
        <w:rPr>
          <w:lang w:val="is-IS"/>
        </w:rPr>
        <w:t xml:space="preserve">nskar verklýsingar </w:t>
      </w:r>
      <w:r w:rsidR="002A03FF">
        <w:rPr>
          <w:lang w:val="is-IS"/>
        </w:rPr>
        <w:t>[</w:t>
      </w:r>
      <w:r>
        <w:rPr>
          <w:szCs w:val="22"/>
          <w:lang w:val="is-IS"/>
        </w:rPr>
        <w:t>Vejdirektoratet – Vejregelutvalget</w:t>
      </w:r>
      <w:r>
        <w:rPr>
          <w:lang w:val="is-IS"/>
        </w:rPr>
        <w:t xml:space="preserve"> 1994, bls. 7 og 13</w:t>
      </w:r>
      <w:r w:rsidR="002A03FF">
        <w:rPr>
          <w:lang w:val="is-IS"/>
        </w:rPr>
        <w:t>]</w:t>
      </w:r>
      <w:r>
        <w:rPr>
          <w:lang w:val="is-IS"/>
        </w:rPr>
        <w:t xml:space="preserve"> fyrir burðarlög í vegum með mikla eða þunga umferð.</w:t>
      </w:r>
    </w:p>
    <w:p w14:paraId="33D07E66" w14:textId="77777777" w:rsidR="009E66E9" w:rsidRDefault="009E66E9" w:rsidP="00707725">
      <w:pPr>
        <w:jc w:val="both"/>
        <w:rPr>
          <w:lang w:val="is-IS"/>
        </w:rPr>
      </w:pPr>
    </w:p>
    <w:p w14:paraId="33D07E67" w14:textId="77777777" w:rsidR="009E66E9" w:rsidRPr="00F12493" w:rsidRDefault="009E66E9" w:rsidP="00707725">
      <w:pPr>
        <w:spacing w:after="60"/>
        <w:ind w:left="2053" w:right="2081"/>
        <w:jc w:val="both"/>
        <w:rPr>
          <w:b/>
          <w:sz w:val="20"/>
          <w:lang w:val="is-IS"/>
        </w:rPr>
      </w:pPr>
      <w:r w:rsidRPr="00F12493">
        <w:rPr>
          <w:b/>
          <w:sz w:val="20"/>
          <w:lang w:val="is-IS"/>
        </w:rPr>
        <w:t xml:space="preserve">Tafla </w:t>
      </w:r>
      <w:r>
        <w:rPr>
          <w:b/>
          <w:sz w:val="20"/>
          <w:lang w:val="is-IS"/>
        </w:rPr>
        <w:t>3</w:t>
      </w:r>
      <w:r w:rsidRPr="00F12493">
        <w:rPr>
          <w:b/>
          <w:sz w:val="20"/>
          <w:lang w:val="is-IS"/>
        </w:rPr>
        <w:t xml:space="preserve">. </w:t>
      </w:r>
      <w:r w:rsidRPr="00707725">
        <w:rPr>
          <w:sz w:val="20"/>
          <w:lang w:val="is-IS"/>
        </w:rPr>
        <w:t>Tillögur Slitlaganefndar að kröfum fyrir festu og sig í nokkrum malbiksgerðum.</w:t>
      </w:r>
    </w:p>
    <w:tbl>
      <w:tblPr>
        <w:tblStyle w:val="TableGrid"/>
        <w:tblW w:w="0" w:type="auto"/>
        <w:jc w:val="center"/>
        <w:tblLook w:val="01E0" w:firstRow="1" w:lastRow="1" w:firstColumn="1" w:lastColumn="1" w:noHBand="0" w:noVBand="0"/>
      </w:tblPr>
      <w:tblGrid>
        <w:gridCol w:w="2082"/>
        <w:gridCol w:w="1067"/>
        <w:gridCol w:w="1026"/>
      </w:tblGrid>
      <w:tr w:rsidR="009E66E9" w14:paraId="33D07E6E" w14:textId="77777777" w:rsidTr="00C45043">
        <w:trPr>
          <w:jc w:val="center"/>
        </w:trPr>
        <w:tc>
          <w:tcPr>
            <w:tcW w:w="2082" w:type="dxa"/>
            <w:shd w:val="clear" w:color="auto" w:fill="D9E2F3" w:themeFill="accent5" w:themeFillTint="33"/>
          </w:tcPr>
          <w:p w14:paraId="33D07E68" w14:textId="77777777" w:rsidR="002A03FF" w:rsidRDefault="002A03FF" w:rsidP="00F423B4">
            <w:pPr>
              <w:jc w:val="both"/>
              <w:rPr>
                <w:b/>
                <w:lang w:val="is-IS"/>
              </w:rPr>
            </w:pPr>
          </w:p>
          <w:p w14:paraId="33D07E69" w14:textId="77777777" w:rsidR="009E66E9" w:rsidRPr="002A03FF" w:rsidRDefault="009E66E9" w:rsidP="00F423B4">
            <w:pPr>
              <w:jc w:val="both"/>
              <w:rPr>
                <w:b/>
                <w:lang w:val="is-IS"/>
              </w:rPr>
            </w:pPr>
            <w:r w:rsidRPr="002A03FF">
              <w:rPr>
                <w:b/>
                <w:lang w:val="is-IS"/>
              </w:rPr>
              <w:t>Malbiksgerð</w:t>
            </w:r>
          </w:p>
        </w:tc>
        <w:tc>
          <w:tcPr>
            <w:tcW w:w="1067" w:type="dxa"/>
            <w:shd w:val="clear" w:color="auto" w:fill="D9E2F3" w:themeFill="accent5" w:themeFillTint="33"/>
          </w:tcPr>
          <w:p w14:paraId="33D07E6A" w14:textId="77777777" w:rsidR="009E66E9" w:rsidRPr="002A03FF" w:rsidRDefault="009E66E9" w:rsidP="00F423B4">
            <w:pPr>
              <w:jc w:val="center"/>
              <w:rPr>
                <w:b/>
                <w:lang w:val="is-IS"/>
              </w:rPr>
            </w:pPr>
            <w:r w:rsidRPr="002A03FF">
              <w:rPr>
                <w:b/>
                <w:lang w:val="is-IS"/>
              </w:rPr>
              <w:t>Festa</w:t>
            </w:r>
          </w:p>
          <w:p w14:paraId="33D07E6B" w14:textId="77777777" w:rsidR="009E66E9" w:rsidRPr="002A03FF" w:rsidRDefault="009E66E9" w:rsidP="00F423B4">
            <w:pPr>
              <w:jc w:val="center"/>
              <w:rPr>
                <w:b/>
                <w:lang w:val="is-IS"/>
              </w:rPr>
            </w:pPr>
            <w:r w:rsidRPr="002A03FF">
              <w:rPr>
                <w:b/>
                <w:lang w:val="is-IS"/>
              </w:rPr>
              <w:t>kN</w:t>
            </w:r>
          </w:p>
        </w:tc>
        <w:tc>
          <w:tcPr>
            <w:tcW w:w="1026" w:type="dxa"/>
            <w:shd w:val="clear" w:color="auto" w:fill="D9E2F3" w:themeFill="accent5" w:themeFillTint="33"/>
          </w:tcPr>
          <w:p w14:paraId="33D07E6C" w14:textId="77777777" w:rsidR="009E66E9" w:rsidRPr="002A03FF" w:rsidRDefault="009E66E9" w:rsidP="00F423B4">
            <w:pPr>
              <w:jc w:val="center"/>
              <w:rPr>
                <w:b/>
                <w:lang w:val="is-IS"/>
              </w:rPr>
            </w:pPr>
            <w:r w:rsidRPr="002A03FF">
              <w:rPr>
                <w:b/>
                <w:lang w:val="is-IS"/>
              </w:rPr>
              <w:t>Sig</w:t>
            </w:r>
          </w:p>
          <w:p w14:paraId="33D07E6D" w14:textId="77777777" w:rsidR="009E66E9" w:rsidRPr="002A03FF" w:rsidRDefault="009E66E9" w:rsidP="00F423B4">
            <w:pPr>
              <w:jc w:val="center"/>
              <w:rPr>
                <w:b/>
                <w:lang w:val="is-IS"/>
              </w:rPr>
            </w:pPr>
            <w:r w:rsidRPr="002A03FF">
              <w:rPr>
                <w:b/>
                <w:lang w:val="is-IS"/>
              </w:rPr>
              <w:t>mm</w:t>
            </w:r>
          </w:p>
        </w:tc>
      </w:tr>
      <w:tr w:rsidR="009E66E9" w14:paraId="33D07E72" w14:textId="77777777" w:rsidTr="00C45043">
        <w:trPr>
          <w:jc w:val="center"/>
        </w:trPr>
        <w:tc>
          <w:tcPr>
            <w:tcW w:w="2082" w:type="dxa"/>
            <w:shd w:val="clear" w:color="auto" w:fill="D9E2F3" w:themeFill="accent5" w:themeFillTint="33"/>
          </w:tcPr>
          <w:p w14:paraId="33D07E6F" w14:textId="77777777" w:rsidR="009E66E9" w:rsidRDefault="009E66E9" w:rsidP="00F423B4">
            <w:pPr>
              <w:spacing w:after="60"/>
              <w:jc w:val="both"/>
              <w:rPr>
                <w:lang w:val="is-IS"/>
              </w:rPr>
            </w:pPr>
            <w:r>
              <w:rPr>
                <w:lang w:val="is-IS"/>
              </w:rPr>
              <w:t>SL 8</w:t>
            </w:r>
          </w:p>
        </w:tc>
        <w:tc>
          <w:tcPr>
            <w:tcW w:w="1067" w:type="dxa"/>
            <w:shd w:val="clear" w:color="auto" w:fill="FFF2CC" w:themeFill="accent4" w:themeFillTint="33"/>
          </w:tcPr>
          <w:p w14:paraId="33D07E70" w14:textId="77777777" w:rsidR="009E66E9" w:rsidRDefault="009E66E9" w:rsidP="00F423B4">
            <w:pPr>
              <w:spacing w:after="60"/>
              <w:jc w:val="center"/>
              <w:rPr>
                <w:lang w:val="is-IS"/>
              </w:rPr>
            </w:pPr>
            <w:r>
              <w:rPr>
                <w:lang w:val="is-IS"/>
              </w:rPr>
              <w:t>≥ 4,0</w:t>
            </w:r>
          </w:p>
        </w:tc>
        <w:tc>
          <w:tcPr>
            <w:tcW w:w="1026" w:type="dxa"/>
            <w:shd w:val="clear" w:color="auto" w:fill="FFF2CC" w:themeFill="accent4" w:themeFillTint="33"/>
          </w:tcPr>
          <w:p w14:paraId="33D07E71" w14:textId="77777777" w:rsidR="009E66E9" w:rsidRDefault="009E66E9" w:rsidP="00F423B4">
            <w:pPr>
              <w:spacing w:after="60"/>
              <w:jc w:val="center"/>
              <w:rPr>
                <w:lang w:val="is-IS"/>
              </w:rPr>
            </w:pPr>
            <w:r>
              <w:rPr>
                <w:lang w:val="is-IS"/>
              </w:rPr>
              <w:t>1,5-5,5</w:t>
            </w:r>
          </w:p>
        </w:tc>
      </w:tr>
      <w:tr w:rsidR="009E66E9" w14:paraId="33D07E76" w14:textId="77777777" w:rsidTr="00C45043">
        <w:trPr>
          <w:jc w:val="center"/>
        </w:trPr>
        <w:tc>
          <w:tcPr>
            <w:tcW w:w="2082" w:type="dxa"/>
            <w:shd w:val="clear" w:color="auto" w:fill="D9E2F3" w:themeFill="accent5" w:themeFillTint="33"/>
          </w:tcPr>
          <w:p w14:paraId="33D07E73" w14:textId="77777777" w:rsidR="009E66E9" w:rsidRDefault="009E66E9" w:rsidP="00F423B4">
            <w:pPr>
              <w:spacing w:after="60"/>
              <w:jc w:val="both"/>
              <w:rPr>
                <w:lang w:val="is-IS"/>
              </w:rPr>
            </w:pPr>
            <w:r>
              <w:rPr>
                <w:lang w:val="is-IS"/>
              </w:rPr>
              <w:t>SL 11</w:t>
            </w:r>
          </w:p>
        </w:tc>
        <w:tc>
          <w:tcPr>
            <w:tcW w:w="1067" w:type="dxa"/>
            <w:shd w:val="clear" w:color="auto" w:fill="FFF2CC" w:themeFill="accent4" w:themeFillTint="33"/>
          </w:tcPr>
          <w:p w14:paraId="33D07E74" w14:textId="77777777" w:rsidR="009E66E9" w:rsidRDefault="009E66E9" w:rsidP="00F423B4">
            <w:pPr>
              <w:spacing w:after="60"/>
              <w:jc w:val="center"/>
              <w:rPr>
                <w:lang w:val="is-IS"/>
              </w:rPr>
            </w:pPr>
            <w:r>
              <w:rPr>
                <w:lang w:val="is-IS"/>
              </w:rPr>
              <w:t>≥ 4,0</w:t>
            </w:r>
          </w:p>
        </w:tc>
        <w:tc>
          <w:tcPr>
            <w:tcW w:w="1026" w:type="dxa"/>
            <w:shd w:val="clear" w:color="auto" w:fill="FFF2CC" w:themeFill="accent4" w:themeFillTint="33"/>
          </w:tcPr>
          <w:p w14:paraId="33D07E75" w14:textId="77777777" w:rsidR="009E66E9" w:rsidRDefault="009E66E9" w:rsidP="00F423B4">
            <w:pPr>
              <w:spacing w:after="60"/>
              <w:jc w:val="center"/>
              <w:rPr>
                <w:lang w:val="is-IS"/>
              </w:rPr>
            </w:pPr>
            <w:r>
              <w:rPr>
                <w:lang w:val="is-IS"/>
              </w:rPr>
              <w:t>1,5-5,5</w:t>
            </w:r>
          </w:p>
        </w:tc>
      </w:tr>
      <w:tr w:rsidR="009E66E9" w14:paraId="33D07E7A" w14:textId="77777777" w:rsidTr="00C45043">
        <w:trPr>
          <w:jc w:val="center"/>
        </w:trPr>
        <w:tc>
          <w:tcPr>
            <w:tcW w:w="2082" w:type="dxa"/>
            <w:shd w:val="clear" w:color="auto" w:fill="D9E2F3" w:themeFill="accent5" w:themeFillTint="33"/>
          </w:tcPr>
          <w:p w14:paraId="33D07E77" w14:textId="77777777" w:rsidR="009E66E9" w:rsidRDefault="009E66E9" w:rsidP="00F423B4">
            <w:pPr>
              <w:spacing w:after="60"/>
              <w:jc w:val="both"/>
              <w:rPr>
                <w:lang w:val="is-IS"/>
              </w:rPr>
            </w:pPr>
            <w:r>
              <w:rPr>
                <w:lang w:val="is-IS"/>
              </w:rPr>
              <w:t>SL 16</w:t>
            </w:r>
          </w:p>
        </w:tc>
        <w:tc>
          <w:tcPr>
            <w:tcW w:w="1067" w:type="dxa"/>
            <w:shd w:val="clear" w:color="auto" w:fill="FFF2CC" w:themeFill="accent4" w:themeFillTint="33"/>
          </w:tcPr>
          <w:p w14:paraId="33D07E78" w14:textId="77777777" w:rsidR="009E66E9" w:rsidRDefault="009E66E9" w:rsidP="00F423B4">
            <w:pPr>
              <w:spacing w:after="60"/>
              <w:jc w:val="center"/>
              <w:rPr>
                <w:lang w:val="is-IS"/>
              </w:rPr>
            </w:pPr>
            <w:r>
              <w:rPr>
                <w:lang w:val="is-IS"/>
              </w:rPr>
              <w:t>≥ 4,0</w:t>
            </w:r>
          </w:p>
        </w:tc>
        <w:tc>
          <w:tcPr>
            <w:tcW w:w="1026" w:type="dxa"/>
            <w:shd w:val="clear" w:color="auto" w:fill="FFF2CC" w:themeFill="accent4" w:themeFillTint="33"/>
          </w:tcPr>
          <w:p w14:paraId="33D07E79" w14:textId="4C5F95CE" w:rsidR="009E66E9" w:rsidRDefault="009E66E9" w:rsidP="00F423B4">
            <w:pPr>
              <w:spacing w:after="60"/>
              <w:jc w:val="center"/>
              <w:rPr>
                <w:lang w:val="is-IS"/>
              </w:rPr>
            </w:pPr>
            <w:r>
              <w:rPr>
                <w:lang w:val="is-IS"/>
              </w:rPr>
              <w:t>1,5-</w:t>
            </w:r>
            <w:r w:rsidR="00CE6693">
              <w:rPr>
                <w:lang w:val="is-IS"/>
              </w:rPr>
              <w:t>5,5</w:t>
            </w:r>
          </w:p>
        </w:tc>
      </w:tr>
      <w:tr w:rsidR="009E66E9" w14:paraId="33D07E7E" w14:textId="77777777" w:rsidTr="00C45043">
        <w:trPr>
          <w:jc w:val="center"/>
        </w:trPr>
        <w:tc>
          <w:tcPr>
            <w:tcW w:w="2082" w:type="dxa"/>
            <w:shd w:val="clear" w:color="auto" w:fill="D9E2F3" w:themeFill="accent5" w:themeFillTint="33"/>
          </w:tcPr>
          <w:p w14:paraId="33D07E7B" w14:textId="77777777" w:rsidR="009E66E9" w:rsidRDefault="009E66E9" w:rsidP="00F423B4">
            <w:pPr>
              <w:spacing w:after="60"/>
              <w:jc w:val="both"/>
              <w:rPr>
                <w:lang w:val="is-IS"/>
              </w:rPr>
            </w:pPr>
            <w:r>
              <w:rPr>
                <w:lang w:val="is-IS"/>
              </w:rPr>
              <w:t>SMA 8</w:t>
            </w:r>
          </w:p>
        </w:tc>
        <w:tc>
          <w:tcPr>
            <w:tcW w:w="1067" w:type="dxa"/>
            <w:shd w:val="clear" w:color="auto" w:fill="FFF2CC" w:themeFill="accent4" w:themeFillTint="33"/>
          </w:tcPr>
          <w:p w14:paraId="33D07E7C" w14:textId="77777777" w:rsidR="009E66E9" w:rsidRDefault="009E66E9" w:rsidP="00F423B4">
            <w:pPr>
              <w:spacing w:after="60"/>
              <w:jc w:val="center"/>
              <w:rPr>
                <w:lang w:val="is-IS"/>
              </w:rPr>
            </w:pPr>
            <w:r>
              <w:rPr>
                <w:lang w:val="is-IS"/>
              </w:rPr>
              <w:t>≥ 5,0</w:t>
            </w:r>
          </w:p>
        </w:tc>
        <w:tc>
          <w:tcPr>
            <w:tcW w:w="1026" w:type="dxa"/>
            <w:shd w:val="clear" w:color="auto" w:fill="FFF2CC" w:themeFill="accent4" w:themeFillTint="33"/>
          </w:tcPr>
          <w:p w14:paraId="33D07E7D" w14:textId="77777777" w:rsidR="009E66E9" w:rsidRDefault="009E66E9" w:rsidP="00F423B4">
            <w:pPr>
              <w:spacing w:after="60"/>
              <w:jc w:val="center"/>
              <w:rPr>
                <w:lang w:val="is-IS"/>
              </w:rPr>
            </w:pPr>
            <w:r>
              <w:rPr>
                <w:lang w:val="is-IS"/>
              </w:rPr>
              <w:t>1,5-5,5</w:t>
            </w:r>
          </w:p>
        </w:tc>
      </w:tr>
      <w:tr w:rsidR="009E66E9" w14:paraId="33D07E82" w14:textId="77777777" w:rsidTr="00C45043">
        <w:trPr>
          <w:jc w:val="center"/>
        </w:trPr>
        <w:tc>
          <w:tcPr>
            <w:tcW w:w="2082" w:type="dxa"/>
            <w:shd w:val="clear" w:color="auto" w:fill="D9E2F3" w:themeFill="accent5" w:themeFillTint="33"/>
          </w:tcPr>
          <w:p w14:paraId="33D07E7F" w14:textId="77777777" w:rsidR="009E66E9" w:rsidRDefault="009E66E9" w:rsidP="00F423B4">
            <w:pPr>
              <w:spacing w:after="60"/>
              <w:jc w:val="both"/>
              <w:rPr>
                <w:lang w:val="is-IS"/>
              </w:rPr>
            </w:pPr>
            <w:r>
              <w:rPr>
                <w:lang w:val="is-IS"/>
              </w:rPr>
              <w:t>SMA 11</w:t>
            </w:r>
          </w:p>
        </w:tc>
        <w:tc>
          <w:tcPr>
            <w:tcW w:w="1067" w:type="dxa"/>
            <w:shd w:val="clear" w:color="auto" w:fill="FFF2CC" w:themeFill="accent4" w:themeFillTint="33"/>
          </w:tcPr>
          <w:p w14:paraId="33D07E80" w14:textId="77777777" w:rsidR="009E66E9" w:rsidRDefault="009E66E9" w:rsidP="00F423B4">
            <w:pPr>
              <w:spacing w:after="60"/>
              <w:jc w:val="center"/>
              <w:rPr>
                <w:lang w:val="is-IS"/>
              </w:rPr>
            </w:pPr>
            <w:r>
              <w:rPr>
                <w:lang w:val="is-IS"/>
              </w:rPr>
              <w:t>≥ 5,0</w:t>
            </w:r>
          </w:p>
        </w:tc>
        <w:tc>
          <w:tcPr>
            <w:tcW w:w="1026" w:type="dxa"/>
            <w:shd w:val="clear" w:color="auto" w:fill="FFF2CC" w:themeFill="accent4" w:themeFillTint="33"/>
          </w:tcPr>
          <w:p w14:paraId="33D07E81" w14:textId="77777777" w:rsidR="009E66E9" w:rsidRDefault="009E66E9" w:rsidP="00F423B4">
            <w:pPr>
              <w:spacing w:after="60"/>
              <w:jc w:val="center"/>
              <w:rPr>
                <w:lang w:val="is-IS"/>
              </w:rPr>
            </w:pPr>
            <w:r>
              <w:rPr>
                <w:lang w:val="is-IS"/>
              </w:rPr>
              <w:t>1,5-5,5</w:t>
            </w:r>
          </w:p>
        </w:tc>
      </w:tr>
      <w:tr w:rsidR="009E66E9" w14:paraId="33D07E86" w14:textId="77777777" w:rsidTr="00C45043">
        <w:trPr>
          <w:jc w:val="center"/>
        </w:trPr>
        <w:tc>
          <w:tcPr>
            <w:tcW w:w="2082" w:type="dxa"/>
            <w:shd w:val="clear" w:color="auto" w:fill="D9E2F3" w:themeFill="accent5" w:themeFillTint="33"/>
          </w:tcPr>
          <w:p w14:paraId="33D07E83" w14:textId="77777777" w:rsidR="009E66E9" w:rsidRDefault="009E66E9" w:rsidP="00F423B4">
            <w:pPr>
              <w:spacing w:after="60"/>
              <w:jc w:val="both"/>
              <w:rPr>
                <w:lang w:val="is-IS"/>
              </w:rPr>
            </w:pPr>
            <w:r>
              <w:rPr>
                <w:lang w:val="is-IS"/>
              </w:rPr>
              <w:t>SMA 16</w:t>
            </w:r>
          </w:p>
        </w:tc>
        <w:tc>
          <w:tcPr>
            <w:tcW w:w="1067" w:type="dxa"/>
            <w:shd w:val="clear" w:color="auto" w:fill="FFF2CC" w:themeFill="accent4" w:themeFillTint="33"/>
          </w:tcPr>
          <w:p w14:paraId="33D07E84" w14:textId="77777777" w:rsidR="009E66E9" w:rsidRDefault="009E66E9" w:rsidP="00F423B4">
            <w:pPr>
              <w:spacing w:after="60"/>
              <w:jc w:val="center"/>
              <w:rPr>
                <w:lang w:val="is-IS"/>
              </w:rPr>
            </w:pPr>
            <w:r>
              <w:rPr>
                <w:lang w:val="is-IS"/>
              </w:rPr>
              <w:t>≥ 5,0</w:t>
            </w:r>
          </w:p>
        </w:tc>
        <w:tc>
          <w:tcPr>
            <w:tcW w:w="1026" w:type="dxa"/>
            <w:shd w:val="clear" w:color="auto" w:fill="FFF2CC" w:themeFill="accent4" w:themeFillTint="33"/>
          </w:tcPr>
          <w:p w14:paraId="33D07E85" w14:textId="77777777" w:rsidR="009E66E9" w:rsidRDefault="009E66E9" w:rsidP="00F423B4">
            <w:pPr>
              <w:spacing w:after="60"/>
              <w:jc w:val="center"/>
              <w:rPr>
                <w:lang w:val="is-IS"/>
              </w:rPr>
            </w:pPr>
            <w:r>
              <w:rPr>
                <w:lang w:val="is-IS"/>
              </w:rPr>
              <w:t>1,5-5,5</w:t>
            </w:r>
          </w:p>
        </w:tc>
      </w:tr>
      <w:tr w:rsidR="009E66E9" w14:paraId="33D07E8A" w14:textId="77777777" w:rsidTr="00C45043">
        <w:trPr>
          <w:jc w:val="center"/>
        </w:trPr>
        <w:tc>
          <w:tcPr>
            <w:tcW w:w="2082" w:type="dxa"/>
            <w:shd w:val="clear" w:color="auto" w:fill="D9E2F3" w:themeFill="accent5" w:themeFillTint="33"/>
          </w:tcPr>
          <w:p w14:paraId="33D07E87" w14:textId="77777777" w:rsidR="009E66E9" w:rsidRDefault="009E66E9" w:rsidP="00F423B4">
            <w:pPr>
              <w:spacing w:after="60"/>
              <w:jc w:val="both"/>
              <w:rPr>
                <w:lang w:val="is-IS"/>
              </w:rPr>
            </w:pPr>
            <w:r>
              <w:rPr>
                <w:lang w:val="is-IS"/>
              </w:rPr>
              <w:t>BNL 11</w:t>
            </w:r>
          </w:p>
        </w:tc>
        <w:tc>
          <w:tcPr>
            <w:tcW w:w="1067" w:type="dxa"/>
            <w:shd w:val="clear" w:color="auto" w:fill="FFF2CC" w:themeFill="accent4" w:themeFillTint="33"/>
          </w:tcPr>
          <w:p w14:paraId="33D07E88" w14:textId="77777777" w:rsidR="009E66E9" w:rsidRDefault="009E66E9" w:rsidP="00F423B4">
            <w:pPr>
              <w:spacing w:after="60"/>
              <w:jc w:val="center"/>
              <w:rPr>
                <w:lang w:val="is-IS"/>
              </w:rPr>
            </w:pPr>
            <w:r>
              <w:rPr>
                <w:lang w:val="is-IS"/>
              </w:rPr>
              <w:t>≥ 3,5</w:t>
            </w:r>
          </w:p>
        </w:tc>
        <w:tc>
          <w:tcPr>
            <w:tcW w:w="1026" w:type="dxa"/>
            <w:shd w:val="clear" w:color="auto" w:fill="FFF2CC" w:themeFill="accent4" w:themeFillTint="33"/>
          </w:tcPr>
          <w:p w14:paraId="33D07E89" w14:textId="77777777" w:rsidR="009E66E9" w:rsidRDefault="009E66E9" w:rsidP="00F423B4">
            <w:pPr>
              <w:spacing w:after="60"/>
              <w:jc w:val="center"/>
              <w:rPr>
                <w:lang w:val="is-IS"/>
              </w:rPr>
            </w:pPr>
            <w:r>
              <w:rPr>
                <w:lang w:val="is-IS"/>
              </w:rPr>
              <w:t>1,0-5,0</w:t>
            </w:r>
          </w:p>
        </w:tc>
      </w:tr>
      <w:tr w:rsidR="009E66E9" w14:paraId="33D07E8E" w14:textId="77777777" w:rsidTr="00C45043">
        <w:trPr>
          <w:jc w:val="center"/>
        </w:trPr>
        <w:tc>
          <w:tcPr>
            <w:tcW w:w="2082" w:type="dxa"/>
            <w:shd w:val="clear" w:color="auto" w:fill="D9E2F3" w:themeFill="accent5" w:themeFillTint="33"/>
          </w:tcPr>
          <w:p w14:paraId="33D07E8B" w14:textId="77777777" w:rsidR="009E66E9" w:rsidRDefault="009E66E9" w:rsidP="00F423B4">
            <w:pPr>
              <w:spacing w:after="60"/>
              <w:jc w:val="both"/>
              <w:rPr>
                <w:lang w:val="is-IS"/>
              </w:rPr>
            </w:pPr>
            <w:r>
              <w:rPr>
                <w:lang w:val="is-IS"/>
              </w:rPr>
              <w:t>BNL 16</w:t>
            </w:r>
          </w:p>
        </w:tc>
        <w:tc>
          <w:tcPr>
            <w:tcW w:w="1067" w:type="dxa"/>
            <w:shd w:val="clear" w:color="auto" w:fill="FFF2CC" w:themeFill="accent4" w:themeFillTint="33"/>
          </w:tcPr>
          <w:p w14:paraId="33D07E8C" w14:textId="77777777" w:rsidR="009E66E9" w:rsidRDefault="009E66E9" w:rsidP="00F423B4">
            <w:pPr>
              <w:spacing w:after="60"/>
              <w:jc w:val="center"/>
              <w:rPr>
                <w:lang w:val="is-IS"/>
              </w:rPr>
            </w:pPr>
            <w:r>
              <w:rPr>
                <w:lang w:val="is-IS"/>
              </w:rPr>
              <w:t>≥ 3,5</w:t>
            </w:r>
          </w:p>
        </w:tc>
        <w:tc>
          <w:tcPr>
            <w:tcW w:w="1026" w:type="dxa"/>
            <w:shd w:val="clear" w:color="auto" w:fill="FFF2CC" w:themeFill="accent4" w:themeFillTint="33"/>
          </w:tcPr>
          <w:p w14:paraId="33D07E8D" w14:textId="77777777" w:rsidR="009E66E9" w:rsidRDefault="009E66E9" w:rsidP="00F423B4">
            <w:pPr>
              <w:spacing w:after="60"/>
              <w:jc w:val="center"/>
              <w:rPr>
                <w:lang w:val="is-IS"/>
              </w:rPr>
            </w:pPr>
            <w:r>
              <w:rPr>
                <w:lang w:val="is-IS"/>
              </w:rPr>
              <w:t>1,0-5,0</w:t>
            </w:r>
          </w:p>
        </w:tc>
      </w:tr>
      <w:tr w:rsidR="009E66E9" w14:paraId="33D07E92" w14:textId="77777777" w:rsidTr="00C45043">
        <w:trPr>
          <w:jc w:val="center"/>
        </w:trPr>
        <w:tc>
          <w:tcPr>
            <w:tcW w:w="2082" w:type="dxa"/>
            <w:shd w:val="clear" w:color="auto" w:fill="D9E2F3" w:themeFill="accent5" w:themeFillTint="33"/>
          </w:tcPr>
          <w:p w14:paraId="33D07E8F" w14:textId="77777777" w:rsidR="009E66E9" w:rsidRDefault="009E66E9" w:rsidP="00F423B4">
            <w:pPr>
              <w:spacing w:after="60"/>
              <w:jc w:val="both"/>
              <w:rPr>
                <w:lang w:val="is-IS"/>
              </w:rPr>
            </w:pPr>
            <w:r>
              <w:rPr>
                <w:lang w:val="is-IS"/>
              </w:rPr>
              <w:t>BRL 16</w:t>
            </w:r>
          </w:p>
        </w:tc>
        <w:tc>
          <w:tcPr>
            <w:tcW w:w="1067" w:type="dxa"/>
            <w:shd w:val="clear" w:color="auto" w:fill="FFF2CC" w:themeFill="accent4" w:themeFillTint="33"/>
          </w:tcPr>
          <w:p w14:paraId="33D07E90" w14:textId="3DC88C5C" w:rsidR="009E66E9" w:rsidRDefault="009E66E9" w:rsidP="00F423B4">
            <w:pPr>
              <w:spacing w:after="60"/>
              <w:jc w:val="center"/>
              <w:rPr>
                <w:lang w:val="is-IS"/>
              </w:rPr>
            </w:pPr>
            <w:r>
              <w:rPr>
                <w:lang w:val="is-IS"/>
              </w:rPr>
              <w:t>≥ 3,5</w:t>
            </w:r>
          </w:p>
        </w:tc>
        <w:tc>
          <w:tcPr>
            <w:tcW w:w="1026" w:type="dxa"/>
            <w:shd w:val="clear" w:color="auto" w:fill="FFF2CC" w:themeFill="accent4" w:themeFillTint="33"/>
          </w:tcPr>
          <w:p w14:paraId="33D07E91" w14:textId="77777777" w:rsidR="009E66E9" w:rsidRDefault="009E66E9" w:rsidP="00F423B4">
            <w:pPr>
              <w:spacing w:after="60"/>
              <w:jc w:val="center"/>
              <w:rPr>
                <w:lang w:val="is-IS"/>
              </w:rPr>
            </w:pPr>
            <w:r>
              <w:rPr>
                <w:lang w:val="is-IS"/>
              </w:rPr>
              <w:t>1,0-5,0</w:t>
            </w:r>
          </w:p>
        </w:tc>
      </w:tr>
      <w:tr w:rsidR="009E66E9" w14:paraId="33D07E96" w14:textId="77777777" w:rsidTr="00C45043">
        <w:trPr>
          <w:jc w:val="center"/>
        </w:trPr>
        <w:tc>
          <w:tcPr>
            <w:tcW w:w="2082" w:type="dxa"/>
            <w:shd w:val="clear" w:color="auto" w:fill="D9E2F3" w:themeFill="accent5" w:themeFillTint="33"/>
          </w:tcPr>
          <w:p w14:paraId="33D07E93" w14:textId="77777777" w:rsidR="009E66E9" w:rsidRDefault="009E66E9" w:rsidP="00F423B4">
            <w:pPr>
              <w:spacing w:after="60"/>
              <w:jc w:val="both"/>
              <w:rPr>
                <w:lang w:val="is-IS"/>
              </w:rPr>
            </w:pPr>
            <w:r>
              <w:rPr>
                <w:lang w:val="is-IS"/>
              </w:rPr>
              <w:t>BRL 22</w:t>
            </w:r>
          </w:p>
        </w:tc>
        <w:tc>
          <w:tcPr>
            <w:tcW w:w="1067" w:type="dxa"/>
            <w:shd w:val="clear" w:color="auto" w:fill="FFF2CC" w:themeFill="accent4" w:themeFillTint="33"/>
          </w:tcPr>
          <w:p w14:paraId="33D07E94" w14:textId="77777777" w:rsidR="009E66E9" w:rsidRDefault="009E66E9" w:rsidP="007F2388">
            <w:pPr>
              <w:spacing w:after="60"/>
              <w:jc w:val="center"/>
              <w:rPr>
                <w:lang w:val="is-IS"/>
              </w:rPr>
            </w:pPr>
            <w:r>
              <w:rPr>
                <w:lang w:val="is-IS"/>
              </w:rPr>
              <w:t>≥ 3,5</w:t>
            </w:r>
          </w:p>
        </w:tc>
        <w:tc>
          <w:tcPr>
            <w:tcW w:w="1026" w:type="dxa"/>
            <w:shd w:val="clear" w:color="auto" w:fill="FFF2CC" w:themeFill="accent4" w:themeFillTint="33"/>
          </w:tcPr>
          <w:p w14:paraId="33D07E95" w14:textId="77777777" w:rsidR="009E66E9" w:rsidRDefault="009E66E9" w:rsidP="00F423B4">
            <w:pPr>
              <w:spacing w:after="60"/>
              <w:jc w:val="center"/>
              <w:rPr>
                <w:lang w:val="is-IS"/>
              </w:rPr>
            </w:pPr>
            <w:r>
              <w:rPr>
                <w:lang w:val="is-IS"/>
              </w:rPr>
              <w:t>1,0-5,0</w:t>
            </w:r>
          </w:p>
        </w:tc>
      </w:tr>
    </w:tbl>
    <w:p w14:paraId="33D07E97" w14:textId="77777777" w:rsidR="009E66E9" w:rsidRDefault="009E66E9" w:rsidP="009E66E9">
      <w:pPr>
        <w:spacing w:after="60"/>
        <w:jc w:val="both"/>
        <w:rPr>
          <w:lang w:val="is-IS"/>
        </w:rPr>
      </w:pPr>
    </w:p>
    <w:p w14:paraId="33D07E98" w14:textId="77777777" w:rsidR="00611FD5" w:rsidRPr="007B1DF4" w:rsidRDefault="00611FD5" w:rsidP="00611FD5">
      <w:pPr>
        <w:ind w:firstLine="340"/>
        <w:jc w:val="both"/>
        <w:rPr>
          <w:b/>
          <w:color w:val="FF0000"/>
          <w:lang w:val="is-IS"/>
        </w:rPr>
      </w:pPr>
      <w:r w:rsidRPr="007B1DF4">
        <w:rPr>
          <w:b/>
          <w:color w:val="FF0000"/>
          <w:lang w:val="is-IS"/>
        </w:rPr>
        <w:t>ATHUGASEMD RITSTJÓRNAR Í JANÚAR 2020</w:t>
      </w:r>
    </w:p>
    <w:p w14:paraId="33D07EE2" w14:textId="761126D9" w:rsidR="009E66E9" w:rsidRPr="007B1DF4" w:rsidRDefault="00611FD5" w:rsidP="007B1DF4">
      <w:pPr>
        <w:ind w:firstLine="340"/>
        <w:jc w:val="both"/>
        <w:rPr>
          <w:color w:val="FF0000"/>
          <w:lang w:val="is-IS"/>
        </w:rPr>
      </w:pPr>
      <w:r w:rsidRPr="007B1DF4">
        <w:rPr>
          <w:color w:val="FF0000"/>
          <w:lang w:val="is-IS"/>
        </w:rPr>
        <w:t xml:space="preserve">Það skal ítrekað hér að í Efnisgæðaritinu eru settar fram leiðbeinandi hönnunarkröfur um holrýmd, festu, sig og stífni eftir þjöppun í Marshallprófi með 50 höggum, sjá </w:t>
      </w:r>
      <w:r w:rsidR="00C92BA6" w:rsidRPr="007B1DF4">
        <w:rPr>
          <w:color w:val="FF0000"/>
          <w:lang w:val="is-IS"/>
        </w:rPr>
        <w:t xml:space="preserve">töflu </w:t>
      </w:r>
      <w:r w:rsidRPr="007B1DF4">
        <w:rPr>
          <w:color w:val="FF0000"/>
          <w:lang w:val="is-IS"/>
        </w:rPr>
        <w:t>64-15 í kafla 6. Hér er sem sagt ekki um eiginlegar kröfur að ræða, heldur einungis leiðbeiningar fyrir framleiðendur malbiks, ef þeir vilja á annað borð notast við Marshallprófið. Í staðinn hafa verið teknar upp kröfur við gerðarprófanir á mismunandi malbiksforskriftum og þar sem umferð er mikil skal í þeim prófunum gera hjólfarapróf, Prall slitþolspróf og vatnsnæmipróf, auk hefðbundinna</w:t>
      </w:r>
      <w:r w:rsidR="00C92BA6" w:rsidRPr="007B1DF4">
        <w:rPr>
          <w:color w:val="FF0000"/>
          <w:lang w:val="is-IS"/>
        </w:rPr>
        <w:t xml:space="preserve"> mælinga á sáldurferli, bindiefnismagni,</w:t>
      </w:r>
      <w:r w:rsidRPr="007B1DF4">
        <w:rPr>
          <w:color w:val="FF0000"/>
          <w:lang w:val="is-IS"/>
        </w:rPr>
        <w:t xml:space="preserve"> holrýmdar- og rúmþyngdamælinga. Þessum </w:t>
      </w:r>
      <w:r w:rsidR="00303F20" w:rsidRPr="007B1DF4">
        <w:rPr>
          <w:color w:val="FF0000"/>
          <w:lang w:val="is-IS"/>
        </w:rPr>
        <w:t>7</w:t>
      </w:r>
      <w:r w:rsidRPr="007B1DF4">
        <w:rPr>
          <w:color w:val="FF0000"/>
          <w:lang w:val="is-IS"/>
        </w:rPr>
        <w:t>. kafla í þessum viðauka hefur verið breytt í samræmi við það og má benda á að tafla 3 hér að framan er í raun söguleg og líklega einnig norskar kröfur um festu og sig sem koma fyrir framar í kaflanum, sem sagt í töflu 1.</w:t>
      </w:r>
      <w:r w:rsidR="00C92BA6" w:rsidRPr="007B1DF4">
        <w:rPr>
          <w:color w:val="FF0000"/>
          <w:lang w:val="is-IS"/>
        </w:rPr>
        <w:t xml:space="preserve"> Þá má benda á að tafla 4 um tillögur að kröfum til festu, sigs og stífni malbiksgerða hefur verið felld út, þar sem hún stangast á við töflu 64-15 í Efnisgæðaritinu. </w:t>
      </w:r>
    </w:p>
    <w:p w14:paraId="33D07EE3" w14:textId="77777777" w:rsidR="007F2388" w:rsidRPr="00235639" w:rsidRDefault="007F2388" w:rsidP="009E66E9">
      <w:pPr>
        <w:spacing w:after="60"/>
        <w:jc w:val="both"/>
        <w:rPr>
          <w:lang w:val="is-IS"/>
        </w:rPr>
      </w:pPr>
    </w:p>
    <w:p w14:paraId="33D07EE4" w14:textId="77777777" w:rsidR="009E66E9" w:rsidRPr="00E57041" w:rsidRDefault="009E66E9" w:rsidP="00E57041">
      <w:pPr>
        <w:spacing w:after="60"/>
        <w:rPr>
          <w:b/>
          <w:sz w:val="24"/>
          <w:szCs w:val="24"/>
          <w:lang w:val="is-IS"/>
        </w:rPr>
      </w:pPr>
      <w:r w:rsidRPr="00E57041">
        <w:rPr>
          <w:b/>
          <w:sz w:val="24"/>
          <w:szCs w:val="24"/>
          <w:lang w:val="is-IS"/>
        </w:rPr>
        <w:t>HEIMILDIR</w:t>
      </w:r>
    </w:p>
    <w:p w14:paraId="33D07EE5" w14:textId="0A02D87B" w:rsidR="009E66E9" w:rsidRDefault="009E66E9" w:rsidP="009E66E9">
      <w:pPr>
        <w:ind w:left="342" w:hanging="342"/>
        <w:jc w:val="both"/>
        <w:rPr>
          <w:lang w:val="is-IS"/>
        </w:rPr>
      </w:pPr>
      <w:r>
        <w:rPr>
          <w:lang w:val="is-IS"/>
        </w:rPr>
        <w:t xml:space="preserve">Alverk ’95. 1995. </w:t>
      </w:r>
      <w:r w:rsidRPr="00AE293A">
        <w:rPr>
          <w:i/>
          <w:lang w:val="is-IS"/>
        </w:rPr>
        <w:t>Almenn verklýsing fyrir vega- og brúargerð.</w:t>
      </w:r>
      <w:r>
        <w:rPr>
          <w:lang w:val="is-IS"/>
        </w:rPr>
        <w:t xml:space="preserve"> Vegagerðin. Reykjavík.</w:t>
      </w:r>
    </w:p>
    <w:p w14:paraId="33D07EE6" w14:textId="77777777" w:rsidR="009E66E9" w:rsidRDefault="009E66E9" w:rsidP="009E66E9">
      <w:pPr>
        <w:ind w:left="342" w:hanging="342"/>
        <w:jc w:val="both"/>
        <w:rPr>
          <w:lang w:val="is-IS"/>
        </w:rPr>
      </w:pPr>
      <w:r>
        <w:rPr>
          <w:lang w:val="is-IS"/>
        </w:rPr>
        <w:t xml:space="preserve">Asphalt Institute. 1983. </w:t>
      </w:r>
      <w:r w:rsidRPr="00E947C1">
        <w:rPr>
          <w:i/>
          <w:lang w:val="is-IS"/>
        </w:rPr>
        <w:t>Principles of Construction of Hot-Mix Asphalt Pavements.</w:t>
      </w:r>
      <w:r>
        <w:rPr>
          <w:lang w:val="is-IS"/>
        </w:rPr>
        <w:t xml:space="preserve"> The Asphalt Institute Manual Series No. 22. Maryland.</w:t>
      </w:r>
    </w:p>
    <w:p w14:paraId="33D07EE7" w14:textId="77777777" w:rsidR="009E66E9" w:rsidRPr="009C1A2E" w:rsidRDefault="009E66E9" w:rsidP="009E66E9">
      <w:pPr>
        <w:ind w:left="342" w:hanging="342"/>
        <w:jc w:val="both"/>
        <w:rPr>
          <w:lang w:val="is-IS"/>
        </w:rPr>
      </w:pPr>
      <w:r>
        <w:rPr>
          <w:lang w:val="is-IS"/>
        </w:rPr>
        <w:t xml:space="preserve">Ásbjörn Jóhannesson, Sigursteinn Hjartarson og Valur Guðmundsson. 2000. </w:t>
      </w:r>
      <w:r w:rsidRPr="00782C94">
        <w:rPr>
          <w:i/>
          <w:lang w:val="is-IS"/>
        </w:rPr>
        <w:t>Endurskoðun á markalínum fyrir malbik – lokaskýrsla.</w:t>
      </w:r>
      <w:r>
        <w:rPr>
          <w:lang w:val="is-IS"/>
        </w:rPr>
        <w:t xml:space="preserve"> BUSL – Slitlaganefnd. Skýrsla S-16. Reykjavík.   </w:t>
      </w:r>
    </w:p>
    <w:p w14:paraId="33D07EE8" w14:textId="77777777" w:rsidR="009E66E9" w:rsidRDefault="009E66E9" w:rsidP="009E66E9">
      <w:pPr>
        <w:ind w:left="342" w:hanging="342"/>
        <w:jc w:val="both"/>
        <w:rPr>
          <w:lang w:val="is-IS"/>
        </w:rPr>
      </w:pPr>
      <w:r>
        <w:rPr>
          <w:lang w:val="is-IS"/>
        </w:rPr>
        <w:t xml:space="preserve">Foster, Charles F. 1985. </w:t>
      </w:r>
      <w:r w:rsidRPr="00CB393F">
        <w:rPr>
          <w:i/>
          <w:lang w:val="is-IS"/>
        </w:rPr>
        <w:t>The Strength of Asphalt Pavements</w:t>
      </w:r>
      <w:r>
        <w:rPr>
          <w:i/>
          <w:lang w:val="is-IS"/>
        </w:rPr>
        <w:t xml:space="preserve"> </w:t>
      </w:r>
      <w:r w:rsidRPr="00CB393F">
        <w:rPr>
          <w:lang w:val="is-IS"/>
        </w:rPr>
        <w:t>(discussion)</w:t>
      </w:r>
      <w:r w:rsidRPr="00CB393F">
        <w:rPr>
          <w:i/>
          <w:lang w:val="is-IS"/>
        </w:rPr>
        <w:t>.</w:t>
      </w:r>
      <w:r>
        <w:rPr>
          <w:lang w:val="is-IS"/>
        </w:rPr>
        <w:t xml:space="preserve"> Proceedings Association of Asphalt Paving Technologists. Ann Arbor.</w:t>
      </w:r>
    </w:p>
    <w:p w14:paraId="33D07EE9" w14:textId="31729075" w:rsidR="009E66E9" w:rsidRPr="004052CF" w:rsidRDefault="009E66E9" w:rsidP="009E66E9">
      <w:pPr>
        <w:ind w:left="340" w:hanging="340"/>
        <w:jc w:val="both"/>
        <w:rPr>
          <w:szCs w:val="22"/>
          <w:lang w:val="is-IS"/>
        </w:rPr>
      </w:pPr>
      <w:r>
        <w:rPr>
          <w:szCs w:val="22"/>
          <w:lang w:val="is-IS"/>
        </w:rPr>
        <w:t xml:space="preserve">ÍST </w:t>
      </w:r>
      <w:r w:rsidRPr="004052CF">
        <w:rPr>
          <w:szCs w:val="22"/>
          <w:lang w:val="is-IS"/>
        </w:rPr>
        <w:t xml:space="preserve">EN 13108-1. </w:t>
      </w:r>
      <w:r>
        <w:rPr>
          <w:i/>
          <w:szCs w:val="22"/>
          <w:lang w:val="is-IS"/>
        </w:rPr>
        <w:t>Malbiksblöndur</w:t>
      </w:r>
      <w:r w:rsidRPr="004052CF">
        <w:rPr>
          <w:i/>
          <w:szCs w:val="22"/>
          <w:lang w:val="is-IS"/>
        </w:rPr>
        <w:t xml:space="preserve"> – </w:t>
      </w:r>
      <w:r>
        <w:rPr>
          <w:i/>
          <w:szCs w:val="22"/>
          <w:lang w:val="is-IS"/>
        </w:rPr>
        <w:t>Efnislýsingar</w:t>
      </w:r>
      <w:r w:rsidRPr="004052CF">
        <w:rPr>
          <w:i/>
          <w:szCs w:val="22"/>
          <w:lang w:val="is-IS"/>
        </w:rPr>
        <w:t xml:space="preserve"> – </w:t>
      </w:r>
      <w:r>
        <w:rPr>
          <w:i/>
          <w:szCs w:val="22"/>
          <w:lang w:val="is-IS"/>
        </w:rPr>
        <w:t>Hluti</w:t>
      </w:r>
      <w:r w:rsidRPr="004052CF">
        <w:rPr>
          <w:i/>
          <w:szCs w:val="22"/>
          <w:lang w:val="is-IS"/>
        </w:rPr>
        <w:t xml:space="preserve"> 1</w:t>
      </w:r>
      <w:r>
        <w:rPr>
          <w:i/>
          <w:szCs w:val="22"/>
          <w:lang w:val="is-IS"/>
        </w:rPr>
        <w:t>: Malbik</w:t>
      </w:r>
      <w:r w:rsidRPr="004052CF">
        <w:rPr>
          <w:i/>
          <w:szCs w:val="22"/>
          <w:lang w:val="is-IS"/>
        </w:rPr>
        <w:t>.</w:t>
      </w:r>
      <w:r w:rsidRPr="004052CF">
        <w:rPr>
          <w:szCs w:val="22"/>
          <w:lang w:val="is-IS"/>
        </w:rPr>
        <w:t xml:space="preserve"> </w:t>
      </w:r>
      <w:r>
        <w:rPr>
          <w:szCs w:val="22"/>
          <w:lang w:val="is-IS"/>
        </w:rPr>
        <w:t>Staðlaráð Íslands, Reykjavík</w:t>
      </w:r>
      <w:r w:rsidRPr="004052CF">
        <w:rPr>
          <w:szCs w:val="22"/>
          <w:lang w:val="is-IS"/>
        </w:rPr>
        <w:t xml:space="preserve">. </w:t>
      </w:r>
    </w:p>
    <w:p w14:paraId="33D07EEA" w14:textId="140C57AA" w:rsidR="009E66E9" w:rsidRDefault="009E66E9" w:rsidP="009E66E9">
      <w:pPr>
        <w:ind w:left="340" w:hanging="340"/>
        <w:jc w:val="both"/>
        <w:rPr>
          <w:szCs w:val="22"/>
          <w:lang w:val="is-IS"/>
        </w:rPr>
      </w:pPr>
      <w:r>
        <w:rPr>
          <w:szCs w:val="22"/>
          <w:lang w:val="is-IS"/>
        </w:rPr>
        <w:t xml:space="preserve">ÍST </w:t>
      </w:r>
      <w:r w:rsidRPr="004052CF">
        <w:rPr>
          <w:szCs w:val="22"/>
          <w:lang w:val="is-IS"/>
        </w:rPr>
        <w:t xml:space="preserve">EN 13108-5. </w:t>
      </w:r>
      <w:r>
        <w:rPr>
          <w:i/>
          <w:szCs w:val="22"/>
          <w:lang w:val="is-IS"/>
        </w:rPr>
        <w:t>Malbiksblöndur</w:t>
      </w:r>
      <w:r w:rsidRPr="004052CF">
        <w:rPr>
          <w:i/>
          <w:szCs w:val="22"/>
          <w:lang w:val="is-IS"/>
        </w:rPr>
        <w:t xml:space="preserve"> – </w:t>
      </w:r>
      <w:r>
        <w:rPr>
          <w:i/>
          <w:szCs w:val="22"/>
          <w:lang w:val="is-IS"/>
        </w:rPr>
        <w:t>Efnislýsingar</w:t>
      </w:r>
      <w:r w:rsidRPr="004052CF">
        <w:rPr>
          <w:i/>
          <w:szCs w:val="22"/>
          <w:lang w:val="is-IS"/>
        </w:rPr>
        <w:t xml:space="preserve"> – </w:t>
      </w:r>
      <w:r>
        <w:rPr>
          <w:i/>
          <w:szCs w:val="22"/>
          <w:lang w:val="is-IS"/>
        </w:rPr>
        <w:t>Hluti</w:t>
      </w:r>
      <w:r w:rsidRPr="004052CF">
        <w:rPr>
          <w:i/>
          <w:szCs w:val="22"/>
          <w:lang w:val="is-IS"/>
        </w:rPr>
        <w:t xml:space="preserve"> </w:t>
      </w:r>
      <w:r>
        <w:rPr>
          <w:i/>
          <w:szCs w:val="22"/>
          <w:lang w:val="is-IS"/>
        </w:rPr>
        <w:t>5:</w:t>
      </w:r>
      <w:r w:rsidRPr="004052CF">
        <w:rPr>
          <w:i/>
          <w:szCs w:val="22"/>
          <w:lang w:val="is-IS"/>
        </w:rPr>
        <w:t xml:space="preserve"> </w:t>
      </w:r>
      <w:r>
        <w:rPr>
          <w:i/>
          <w:szCs w:val="22"/>
          <w:lang w:val="is-IS"/>
        </w:rPr>
        <w:t>Steinríkt malbik (SMA)</w:t>
      </w:r>
      <w:r w:rsidRPr="004052CF">
        <w:rPr>
          <w:i/>
          <w:szCs w:val="22"/>
          <w:lang w:val="is-IS"/>
        </w:rPr>
        <w:t>.</w:t>
      </w:r>
      <w:r w:rsidRPr="0025213F">
        <w:rPr>
          <w:szCs w:val="22"/>
          <w:lang w:val="is-IS"/>
        </w:rPr>
        <w:t xml:space="preserve"> </w:t>
      </w:r>
      <w:r>
        <w:rPr>
          <w:szCs w:val="22"/>
          <w:lang w:val="is-IS"/>
        </w:rPr>
        <w:t>Staðlaráð Íslands, Reykjavík</w:t>
      </w:r>
      <w:r w:rsidRPr="004052CF">
        <w:rPr>
          <w:szCs w:val="22"/>
          <w:lang w:val="is-IS"/>
        </w:rPr>
        <w:t>.</w:t>
      </w:r>
    </w:p>
    <w:p w14:paraId="33D07EEB" w14:textId="77777777" w:rsidR="009E66E9" w:rsidRDefault="009E66E9" w:rsidP="009E66E9">
      <w:pPr>
        <w:ind w:left="342" w:hanging="342"/>
        <w:jc w:val="both"/>
        <w:rPr>
          <w:lang w:val="is-IS"/>
        </w:rPr>
      </w:pPr>
      <w:r>
        <w:rPr>
          <w:lang w:val="is-IS"/>
        </w:rPr>
        <w:t xml:space="preserve">Krebs, Robert D., Richard D. Walker. 1971. </w:t>
      </w:r>
      <w:r w:rsidRPr="008B0FD9">
        <w:rPr>
          <w:i/>
          <w:lang w:val="is-IS"/>
        </w:rPr>
        <w:t>Highway Materials.</w:t>
      </w:r>
      <w:r>
        <w:rPr>
          <w:lang w:val="is-IS"/>
        </w:rPr>
        <w:t xml:space="preserve"> McGraw-Hill Book Company. New York.</w:t>
      </w:r>
    </w:p>
    <w:p w14:paraId="33D07EEC" w14:textId="77777777" w:rsidR="009E66E9" w:rsidRPr="00101922" w:rsidRDefault="009E66E9" w:rsidP="009E66E9">
      <w:pPr>
        <w:ind w:left="342" w:hanging="342"/>
        <w:jc w:val="both"/>
        <w:rPr>
          <w:lang w:val="is-IS"/>
        </w:rPr>
      </w:pPr>
      <w:r w:rsidRPr="00101922">
        <w:rPr>
          <w:lang w:val="is-IS"/>
        </w:rPr>
        <w:t xml:space="preserve">NVF-33. 1985. </w:t>
      </w:r>
      <w:r w:rsidRPr="00101922">
        <w:rPr>
          <w:i/>
          <w:lang w:val="is-IS"/>
        </w:rPr>
        <w:t>Materialegenskaper og funktionskrav for varmblandede dekker og bærelag.</w:t>
      </w:r>
      <w:r w:rsidRPr="00101922">
        <w:rPr>
          <w:lang w:val="is-IS"/>
        </w:rPr>
        <w:t xml:space="preserve"> Nordisk Vegteknisk Förbund. Utvalg 33 Asfaltbelegninger. Rapport nr. 5. </w:t>
      </w:r>
    </w:p>
    <w:p w14:paraId="33D07EED" w14:textId="77777777" w:rsidR="009E66E9" w:rsidRPr="006E1857" w:rsidRDefault="009E66E9" w:rsidP="009E66E9">
      <w:pPr>
        <w:ind w:left="342" w:hanging="342"/>
        <w:jc w:val="both"/>
        <w:rPr>
          <w:lang w:val="is-IS"/>
        </w:rPr>
      </w:pPr>
      <w:r w:rsidRPr="006E1857">
        <w:rPr>
          <w:lang w:val="is-IS"/>
        </w:rPr>
        <w:t xml:space="preserve">PANK. </w:t>
      </w:r>
      <w:r>
        <w:rPr>
          <w:lang w:val="is-IS"/>
        </w:rPr>
        <w:t>2000</w:t>
      </w:r>
      <w:r w:rsidRPr="006E1857">
        <w:rPr>
          <w:lang w:val="is-IS"/>
        </w:rPr>
        <w:t xml:space="preserve">. </w:t>
      </w:r>
      <w:r w:rsidRPr="006E1857">
        <w:rPr>
          <w:i/>
          <w:lang w:val="is-IS"/>
        </w:rPr>
        <w:t xml:space="preserve">Finnish Asphalt Specifications </w:t>
      </w:r>
      <w:r>
        <w:rPr>
          <w:i/>
          <w:lang w:val="is-IS"/>
        </w:rPr>
        <w:t>2000</w:t>
      </w:r>
      <w:r w:rsidRPr="006E1857">
        <w:rPr>
          <w:i/>
          <w:lang w:val="is-IS"/>
        </w:rPr>
        <w:t>.</w:t>
      </w:r>
      <w:r w:rsidRPr="006E1857">
        <w:rPr>
          <w:lang w:val="is-IS"/>
        </w:rPr>
        <w:t xml:space="preserve"> Finnish Pavement Technology Advisory Council. Helsinki.</w:t>
      </w:r>
    </w:p>
    <w:p w14:paraId="33D07EEE" w14:textId="77777777" w:rsidR="009E66E9" w:rsidRDefault="009E66E9" w:rsidP="009E66E9">
      <w:pPr>
        <w:ind w:left="342" w:hanging="342"/>
        <w:jc w:val="both"/>
        <w:rPr>
          <w:lang w:val="is-IS"/>
        </w:rPr>
      </w:pPr>
      <w:r>
        <w:rPr>
          <w:lang w:val="is-IS"/>
        </w:rPr>
        <w:t xml:space="preserve">Sargious, M. 1975. </w:t>
      </w:r>
      <w:r w:rsidRPr="00AE293A">
        <w:rPr>
          <w:i/>
          <w:lang w:val="is-IS"/>
        </w:rPr>
        <w:t>Pavements and Surfacings for Highways and Airports.</w:t>
      </w:r>
      <w:r>
        <w:rPr>
          <w:lang w:val="is-IS"/>
        </w:rPr>
        <w:t xml:space="preserve"> Applied Science Publishers Ltd. London.</w:t>
      </w:r>
    </w:p>
    <w:p w14:paraId="33D07EEF" w14:textId="77777777" w:rsidR="009E66E9" w:rsidRPr="006E1857" w:rsidRDefault="009E66E9" w:rsidP="009E66E9">
      <w:pPr>
        <w:ind w:left="342" w:hanging="342"/>
        <w:jc w:val="both"/>
        <w:rPr>
          <w:lang w:val="is-IS"/>
        </w:rPr>
      </w:pPr>
      <w:r w:rsidRPr="006E1857">
        <w:rPr>
          <w:lang w:val="is-IS"/>
        </w:rPr>
        <w:t xml:space="preserve">Statens vegvesen. 2005. </w:t>
      </w:r>
      <w:r w:rsidRPr="006E1857">
        <w:rPr>
          <w:i/>
          <w:lang w:val="is-IS"/>
        </w:rPr>
        <w:t>Håndbok 018.</w:t>
      </w:r>
      <w:r w:rsidRPr="006E1857">
        <w:rPr>
          <w:lang w:val="is-IS"/>
        </w:rPr>
        <w:t xml:space="preserve"> </w:t>
      </w:r>
      <w:r w:rsidRPr="006E1857">
        <w:rPr>
          <w:i/>
          <w:lang w:val="is-IS"/>
        </w:rPr>
        <w:t xml:space="preserve">Vegbygging. </w:t>
      </w:r>
      <w:r w:rsidRPr="006E1857">
        <w:rPr>
          <w:lang w:val="is-IS"/>
        </w:rPr>
        <w:t>Statens vegvesen. Oslo.</w:t>
      </w:r>
    </w:p>
    <w:p w14:paraId="33D07EF0" w14:textId="77777777" w:rsidR="009E66E9" w:rsidRDefault="009E66E9" w:rsidP="009E66E9">
      <w:pPr>
        <w:ind w:left="340" w:hanging="340"/>
        <w:jc w:val="both"/>
        <w:rPr>
          <w:szCs w:val="22"/>
          <w:lang w:val="is-IS"/>
        </w:rPr>
      </w:pPr>
      <w:r w:rsidRPr="006E1857">
        <w:rPr>
          <w:szCs w:val="22"/>
          <w:lang w:val="is-IS"/>
        </w:rPr>
        <w:t xml:space="preserve">Vägverket. 2005. </w:t>
      </w:r>
      <w:r w:rsidRPr="006E1857">
        <w:rPr>
          <w:i/>
          <w:szCs w:val="22"/>
          <w:lang w:val="is-IS"/>
        </w:rPr>
        <w:t>ATB VÄG 2005. Kapitel I Typblad, kontrollblad, bindemedel och konstruktionstyper för bitumenbundna lager.</w:t>
      </w:r>
      <w:r w:rsidRPr="006E1857">
        <w:rPr>
          <w:szCs w:val="22"/>
          <w:lang w:val="is-IS"/>
        </w:rPr>
        <w:t xml:space="preserve"> VV Publ 2005:112. Borlänge.</w:t>
      </w:r>
    </w:p>
    <w:p w14:paraId="33D07EF1" w14:textId="77777777" w:rsidR="009E66E9" w:rsidRPr="004052CF" w:rsidRDefault="009E66E9" w:rsidP="009E66E9">
      <w:pPr>
        <w:ind w:left="340" w:hanging="340"/>
        <w:jc w:val="both"/>
        <w:rPr>
          <w:szCs w:val="22"/>
          <w:lang w:val="is-IS"/>
        </w:rPr>
      </w:pPr>
      <w:r>
        <w:rPr>
          <w:szCs w:val="22"/>
          <w:lang w:val="is-IS"/>
        </w:rPr>
        <w:t xml:space="preserve">Vejdirektoratet – Vejregelutvalget. 1994. </w:t>
      </w:r>
      <w:r w:rsidRPr="0084649A">
        <w:rPr>
          <w:i/>
          <w:szCs w:val="22"/>
          <w:lang w:val="is-IS"/>
        </w:rPr>
        <w:t>Vejregler. Udbuds- og anlægsforskrifter. Varmblandet asfalt.</w:t>
      </w:r>
      <w:r>
        <w:rPr>
          <w:szCs w:val="22"/>
          <w:lang w:val="is-IS"/>
        </w:rPr>
        <w:t xml:space="preserve"> Almindelig arbeidsbeskrivelse (AAB).</w:t>
      </w:r>
    </w:p>
    <w:p w14:paraId="33D07EF2" w14:textId="77777777" w:rsidR="009E66E9" w:rsidRPr="004052CF" w:rsidRDefault="009E66E9" w:rsidP="009E66E9">
      <w:pPr>
        <w:spacing w:after="60"/>
        <w:ind w:left="340" w:hanging="340"/>
        <w:jc w:val="both"/>
        <w:rPr>
          <w:szCs w:val="22"/>
          <w:lang w:val="is-IS"/>
        </w:rPr>
      </w:pPr>
    </w:p>
    <w:p w14:paraId="33D07EF9" w14:textId="77777777" w:rsidR="009E66E9" w:rsidRPr="001C45E6" w:rsidRDefault="009E66E9" w:rsidP="00D15FAD">
      <w:pPr>
        <w:pStyle w:val="Heading1"/>
        <w:rPr>
          <w:lang w:val="is-IS"/>
        </w:rPr>
      </w:pPr>
      <w:bookmarkStart w:id="25" w:name="_Toc52974030"/>
      <w:r w:rsidRPr="001C45E6">
        <w:rPr>
          <w:lang w:val="is-IS"/>
        </w:rPr>
        <w:t>HOLRÝMD Í BURÐARLAGSMALBIKI</w:t>
      </w:r>
      <w:bookmarkEnd w:id="25"/>
    </w:p>
    <w:p w14:paraId="33D07EFA" w14:textId="77777777" w:rsidR="009E66E9" w:rsidRPr="0054726C" w:rsidRDefault="009E66E9" w:rsidP="009E66E9">
      <w:pPr>
        <w:rPr>
          <w:sz w:val="24"/>
          <w:szCs w:val="24"/>
          <w:lang w:val="is-IS"/>
        </w:rPr>
      </w:pPr>
    </w:p>
    <w:p w14:paraId="33D07EFB" w14:textId="77777777" w:rsidR="009E66E9" w:rsidRDefault="009E66E9" w:rsidP="009E66E9">
      <w:pPr>
        <w:spacing w:after="60"/>
        <w:jc w:val="both"/>
        <w:rPr>
          <w:lang w:val="is-IS"/>
        </w:rPr>
      </w:pPr>
      <w:r>
        <w:rPr>
          <w:lang w:val="is-IS"/>
        </w:rPr>
        <w:t xml:space="preserve">Meginhugmyndin á bak við tillögurnar í skýrslu Slitlaganefndar </w:t>
      </w:r>
      <w:r w:rsidR="009D060A">
        <w:rPr>
          <w:lang w:val="is-IS"/>
        </w:rPr>
        <w:t>[</w:t>
      </w:r>
      <w:r>
        <w:rPr>
          <w:lang w:val="is-IS"/>
        </w:rPr>
        <w:t>Ásbjörn Jóhannesson o. fl.</w:t>
      </w:r>
      <w:r w:rsidR="009D060A">
        <w:rPr>
          <w:lang w:val="is-IS"/>
        </w:rPr>
        <w:t>]</w:t>
      </w:r>
      <w:r>
        <w:rPr>
          <w:lang w:val="is-IS"/>
        </w:rPr>
        <w:t xml:space="preserve"> var að gera ekki meiri kröfur til sáldurferils malbiks en nauðsynlegt væri, en leggja áherslu á aðra eiginleika til að tryggja nauðsynleg gæði. Á þessari forsendu voru mörk fyrir sáldurferla valin þannig að leyfðir sáldurferlar samkvæmt Alverk ’95</w:t>
      </w:r>
      <w:r w:rsidR="009D060A">
        <w:rPr>
          <w:lang w:val="is-IS"/>
        </w:rPr>
        <w:t xml:space="preserve"> svo og</w:t>
      </w:r>
      <w:r>
        <w:rPr>
          <w:lang w:val="is-IS"/>
        </w:rPr>
        <w:t xml:space="preserve"> norskum og sænskum verklýsingum</w:t>
      </w:r>
      <w:r w:rsidR="009D060A">
        <w:rPr>
          <w:lang w:val="is-IS"/>
        </w:rPr>
        <w:t>,</w:t>
      </w:r>
      <w:r>
        <w:rPr>
          <w:lang w:val="is-IS"/>
        </w:rPr>
        <w:t xml:space="preserve"> rúmuðust innan </w:t>
      </w:r>
      <w:r w:rsidR="009D060A">
        <w:rPr>
          <w:lang w:val="is-IS"/>
        </w:rPr>
        <w:t>markanna</w:t>
      </w:r>
      <w:r>
        <w:rPr>
          <w:lang w:val="is-IS"/>
        </w:rPr>
        <w:t xml:space="preserve">, þeim stillt upp til bráðabirgða á þeirri forsendu að fyrst vægar kröfur gætu gengið erlendis, þá væri líklegt að þær gætu gengið hér líka. Síðan var reynt að meta hvort þetta væri raunhæf afstaða og mörkin þrengd aftur ef gild ástæða var fyrir hendi. Tillögur að öðrum kröfum, þar á meðal um holrýmd, voru gerðar með tilliti til íslenskar reynslu. </w:t>
      </w:r>
    </w:p>
    <w:p w14:paraId="33D07EFC" w14:textId="77777777" w:rsidR="009E66E9" w:rsidRDefault="009E66E9" w:rsidP="009E66E9">
      <w:pPr>
        <w:rPr>
          <w:lang w:val="is-IS"/>
        </w:rPr>
      </w:pPr>
      <w:r>
        <w:rPr>
          <w:lang w:val="is-IS"/>
        </w:rPr>
        <w:t xml:space="preserve">Þegar kröfur eru settar um holrýmd í burðarlagi þarf að hafa í huga að: </w:t>
      </w:r>
    </w:p>
    <w:p w14:paraId="33D07EFD" w14:textId="51BD828F" w:rsidR="009E66E9" w:rsidRDefault="009E66E9" w:rsidP="009E66E9">
      <w:pPr>
        <w:numPr>
          <w:ilvl w:val="0"/>
          <w:numId w:val="5"/>
        </w:numPr>
        <w:jc w:val="both"/>
        <w:rPr>
          <w:lang w:val="is-IS"/>
        </w:rPr>
      </w:pPr>
      <w:r>
        <w:rPr>
          <w:lang w:val="is-IS"/>
        </w:rPr>
        <w:lastRenderedPageBreak/>
        <w:t>Það getur verið varhugavert að leyfa mjög mikla holrýmd í smágerðu burðarlagsmal</w:t>
      </w:r>
      <w:r>
        <w:rPr>
          <w:lang w:val="is-IS"/>
        </w:rPr>
        <w:softHyphen/>
        <w:t>biki vegna þess að þá getur malbikið þjappast saman undir umferð og orsakað hjólför (sig) í slitlaginu. Hvar á að setja mörkin er álitamál, en líkast til gerist þetta ekki að neinu ráði meðan holrýmdin er undir 10%.</w:t>
      </w:r>
    </w:p>
    <w:p w14:paraId="33D07EFE" w14:textId="6E467952" w:rsidR="009E66E9" w:rsidRDefault="009E66E9" w:rsidP="009E66E9">
      <w:pPr>
        <w:numPr>
          <w:ilvl w:val="0"/>
          <w:numId w:val="5"/>
        </w:numPr>
        <w:jc w:val="both"/>
        <w:rPr>
          <w:lang w:val="is-IS"/>
        </w:rPr>
      </w:pPr>
      <w:r>
        <w:rPr>
          <w:lang w:val="is-IS"/>
        </w:rPr>
        <w:t>Það er fremur ólíklegt að hitastigssveiflur verði miklar í burðarlag</w:t>
      </w:r>
      <w:r w:rsidR="00A76ABC">
        <w:rPr>
          <w:lang w:val="is-IS"/>
        </w:rPr>
        <w:t>smalbiki</w:t>
      </w:r>
      <w:r>
        <w:rPr>
          <w:lang w:val="is-IS"/>
        </w:rPr>
        <w:t xml:space="preserve"> (sem liggur 10 cm eða meira undir yfirborði). Ef til vill eru til mælingar á þessu (á Grensásvegi) eða reiknilíkön sem meta þetta. Alténd er minni hætta á skriði í burðarlagi vegna </w:t>
      </w:r>
      <w:r w:rsidR="009D060A">
        <w:rPr>
          <w:lang w:val="is-IS"/>
        </w:rPr>
        <w:t>sumar</w:t>
      </w:r>
      <w:r>
        <w:rPr>
          <w:lang w:val="is-IS"/>
        </w:rPr>
        <w:t>hita en í lögunum fyrir ofan. Sömuleiðis má gera ráð fyrir að mismunur milli landa í hitafari (og veðurfari) hafi minni áhrif á hönnun burðarlags en efri lög í veghlotinu.</w:t>
      </w:r>
      <w:r w:rsidRPr="003120DE">
        <w:rPr>
          <w:lang w:val="is-IS"/>
        </w:rPr>
        <w:t xml:space="preserve"> </w:t>
      </w:r>
      <w:r>
        <w:rPr>
          <w:lang w:val="is-IS"/>
        </w:rPr>
        <w:t xml:space="preserve">Á þessari forsendu hefur það nokkuð til síns máls </w:t>
      </w:r>
      <w:r w:rsidR="00A76ABC">
        <w:rPr>
          <w:lang w:val="is-IS"/>
        </w:rPr>
        <w:t xml:space="preserve">að </w:t>
      </w:r>
      <w:r>
        <w:rPr>
          <w:lang w:val="is-IS"/>
        </w:rPr>
        <w:t>fara ekki niður fyrir lágmarksholrýmd í erlendum verklýsingum, en það sýnist heldur ekki ástæða til að gera strangari kröfur.</w:t>
      </w:r>
    </w:p>
    <w:p w14:paraId="33D07EFF" w14:textId="20A922AC" w:rsidR="009E66E9" w:rsidRDefault="009E66E9" w:rsidP="009E66E9">
      <w:pPr>
        <w:numPr>
          <w:ilvl w:val="0"/>
          <w:numId w:val="5"/>
        </w:numPr>
        <w:jc w:val="both"/>
        <w:rPr>
          <w:lang w:val="is-IS"/>
        </w:rPr>
      </w:pPr>
      <w:r>
        <w:rPr>
          <w:lang w:val="is-IS"/>
        </w:rPr>
        <w:t>Álagið er væntanlega farið að dreifast verulega þegar komið er niður í bikbundið burðarlag (þá er gert ráð fyrir bindilagi og slitlagi fyrir ofan).</w:t>
      </w:r>
    </w:p>
    <w:p w14:paraId="33D07F00" w14:textId="77777777" w:rsidR="009E66E9" w:rsidRDefault="009E66E9" w:rsidP="009E66E9">
      <w:pPr>
        <w:numPr>
          <w:ilvl w:val="0"/>
          <w:numId w:val="5"/>
        </w:numPr>
        <w:jc w:val="both"/>
        <w:rPr>
          <w:lang w:val="is-IS"/>
        </w:rPr>
      </w:pPr>
      <w:r>
        <w:rPr>
          <w:lang w:val="is-IS"/>
        </w:rPr>
        <w:t xml:space="preserve">Hérlendis hefur ekki tíðkast að gera kröfur um sérstakt bikbundið burðarlag (auk bindilags og slitlags) nema þar sem umferð er mikil eða þung. Þar af leiðandi sýnist rökrétt að miða kröfur til bikbundins burðarlags við </w:t>
      </w:r>
      <w:r w:rsidR="009D060A">
        <w:rPr>
          <w:lang w:val="is-IS"/>
        </w:rPr>
        <w:t xml:space="preserve">mikla eða </w:t>
      </w:r>
      <w:r>
        <w:rPr>
          <w:lang w:val="is-IS"/>
        </w:rPr>
        <w:t xml:space="preserve">þunga umferð. </w:t>
      </w:r>
    </w:p>
    <w:p w14:paraId="33D07F01" w14:textId="0FC50D82" w:rsidR="009E66E9" w:rsidRDefault="009E66E9" w:rsidP="009E66E9">
      <w:pPr>
        <w:numPr>
          <w:ilvl w:val="0"/>
          <w:numId w:val="5"/>
        </w:numPr>
        <w:jc w:val="both"/>
        <w:rPr>
          <w:lang w:val="is-IS"/>
        </w:rPr>
      </w:pPr>
      <w:r>
        <w:rPr>
          <w:lang w:val="is-IS"/>
        </w:rPr>
        <w:t>Mikil holrýmd (&gt; 10%) í burðarlagi hefur eina jákvæða hlið; það er minni hætta á að vatn, sem af einhverri ástæðu kemst niður í gegnum slit- og bindilag, safnist fyrir í eða ofan við burðarlagið. Sennilega er þó lítil hætta á þessu ef allt er með felldu. Svo má líta á þetta frá öðru sjónarmiði; er æskilegt að hafa burðarlag</w:t>
      </w:r>
      <w:r w:rsidR="00A76ABC">
        <w:rPr>
          <w:lang w:val="is-IS"/>
        </w:rPr>
        <w:t>smalbikið</w:t>
      </w:r>
      <w:r>
        <w:rPr>
          <w:lang w:val="is-IS"/>
        </w:rPr>
        <w:t xml:space="preserve"> þétt til að varna vatni að komast neðan frá inn í burðarlag og bindilag? Sennilega á þetta sjónarmið alveg jafn mikinn rétt á sér eins og hitt, því slitlagið er (eða á að vera) þétt.</w:t>
      </w:r>
    </w:p>
    <w:p w14:paraId="33D07F02" w14:textId="15A3E3CF" w:rsidR="009E66E9" w:rsidRDefault="009E66E9" w:rsidP="009E66E9">
      <w:pPr>
        <w:numPr>
          <w:ilvl w:val="0"/>
          <w:numId w:val="5"/>
        </w:numPr>
        <w:jc w:val="both"/>
        <w:rPr>
          <w:lang w:val="is-IS"/>
        </w:rPr>
      </w:pPr>
      <w:r>
        <w:rPr>
          <w:lang w:val="is-IS"/>
        </w:rPr>
        <w:t xml:space="preserve">Lág holrýmd hefur jákvæð áhrif á þreytuþol malbiks. Ef fyllt holrýmd er meiri en 50% eru áhrifin þó óveruleg </w:t>
      </w:r>
      <w:r w:rsidR="009D060A">
        <w:rPr>
          <w:lang w:val="is-IS"/>
        </w:rPr>
        <w:t>[</w:t>
      </w:r>
      <w:r>
        <w:rPr>
          <w:lang w:val="is-IS"/>
        </w:rPr>
        <w:t>NVF 33, bls. 35</w:t>
      </w:r>
      <w:r w:rsidR="009D060A">
        <w:rPr>
          <w:lang w:val="is-IS"/>
        </w:rPr>
        <w:t>]</w:t>
      </w:r>
      <w:r>
        <w:rPr>
          <w:lang w:val="is-IS"/>
        </w:rPr>
        <w:t>.</w:t>
      </w:r>
    </w:p>
    <w:p w14:paraId="33D07F03" w14:textId="77777777" w:rsidR="009E66E9" w:rsidRDefault="009E66E9" w:rsidP="009E66E9">
      <w:pPr>
        <w:numPr>
          <w:ilvl w:val="0"/>
          <w:numId w:val="5"/>
        </w:numPr>
        <w:jc w:val="both"/>
        <w:rPr>
          <w:lang w:val="is-IS"/>
        </w:rPr>
      </w:pPr>
      <w:r>
        <w:rPr>
          <w:lang w:val="is-IS"/>
        </w:rPr>
        <w:t>Ef burðarlag</w:t>
      </w:r>
      <w:r w:rsidR="00A76ABC">
        <w:rPr>
          <w:lang w:val="is-IS"/>
        </w:rPr>
        <w:t>smalbik</w:t>
      </w:r>
      <w:r>
        <w:rPr>
          <w:lang w:val="is-IS"/>
        </w:rPr>
        <w:t xml:space="preserve"> er notað sem bráðabirgðaslitlag (veturinn</w:t>
      </w:r>
      <w:r w:rsidR="001D10CA">
        <w:rPr>
          <w:lang w:val="is-IS"/>
        </w:rPr>
        <w:t xml:space="preserve"> eftir útlögn</w:t>
      </w:r>
      <w:r>
        <w:rPr>
          <w:lang w:val="is-IS"/>
        </w:rPr>
        <w:t>) er rétt að halda holrýmd</w:t>
      </w:r>
      <w:r>
        <w:rPr>
          <w:lang w:val="is-IS"/>
        </w:rPr>
        <w:softHyphen/>
        <w:t xml:space="preserve">inni niðri.  </w:t>
      </w:r>
    </w:p>
    <w:p w14:paraId="33D07F04" w14:textId="77777777" w:rsidR="009E66E9" w:rsidRDefault="009E66E9" w:rsidP="009E66E9">
      <w:pPr>
        <w:jc w:val="both"/>
        <w:rPr>
          <w:lang w:val="is-IS"/>
        </w:rPr>
      </w:pPr>
    </w:p>
    <w:p w14:paraId="33D07F05" w14:textId="23B39B2C" w:rsidR="009E66E9" w:rsidRDefault="009E66E9" w:rsidP="009E66E9">
      <w:pPr>
        <w:spacing w:after="60"/>
        <w:jc w:val="both"/>
        <w:rPr>
          <w:lang w:val="is-IS"/>
        </w:rPr>
      </w:pPr>
      <w:r>
        <w:rPr>
          <w:lang w:val="is-IS"/>
        </w:rPr>
        <w:t xml:space="preserve">Með hliðsjón af þessum punktum og töflu 1 hér á eftir sýnist ekki skipta ýkja miklu máli hvaða kröfur eru gerðar til holrýmdar í burðarlagi. Í norsku verklýsingunum </w:t>
      </w:r>
      <w:r w:rsidR="003E6693">
        <w:rPr>
          <w:lang w:val="is-IS"/>
        </w:rPr>
        <w:t>[</w:t>
      </w:r>
      <w:r>
        <w:rPr>
          <w:lang w:val="is-IS"/>
        </w:rPr>
        <w:t>Statens vegvesen, bls. 218</w:t>
      </w:r>
      <w:r w:rsidR="003E6693">
        <w:rPr>
          <w:lang w:val="is-IS"/>
        </w:rPr>
        <w:t>]</w:t>
      </w:r>
      <w:r>
        <w:rPr>
          <w:lang w:val="is-IS"/>
        </w:rPr>
        <w:t xml:space="preserve"> er lágmark holrýmdar í burðarlag</w:t>
      </w:r>
      <w:r w:rsidR="00A76ABC">
        <w:rPr>
          <w:lang w:val="is-IS"/>
        </w:rPr>
        <w:t>smalbiki</w:t>
      </w:r>
      <w:r>
        <w:rPr>
          <w:lang w:val="is-IS"/>
        </w:rPr>
        <w:t xml:space="preserve"> sett 2%, og verður að teljast líklegt að lágmarkið sé valið nægilega hátt til að útiloka skrið. Norsku verklýsingarnar leyfa 8% hönnunarholrýmd í ef</w:t>
      </w:r>
      <w:r w:rsidR="001F0FB6">
        <w:rPr>
          <w:lang w:val="is-IS"/>
        </w:rPr>
        <w:t>ra burðarlag</w:t>
      </w:r>
      <w:r w:rsidR="00A76ABC">
        <w:rPr>
          <w:lang w:val="is-IS"/>
        </w:rPr>
        <w:t>smalbiki</w:t>
      </w:r>
      <w:r w:rsidR="001F0FB6">
        <w:rPr>
          <w:lang w:val="is-IS"/>
        </w:rPr>
        <w:t xml:space="preserve"> sem sennilega er </w:t>
      </w:r>
      <w:r>
        <w:rPr>
          <w:lang w:val="is-IS"/>
        </w:rPr>
        <w:t>nokkuð mikið, ekki síst ef þjöppunarkrafan er aðeins 95%, og helsta ástæðan er möguleiki á sigi (sem er þó léttvæg, því áhrifin frá siginu hverfa með fyrstu yfirlögn). Á hinn bóginn leyfa norsku verklýsingarnar allt að 12% hönnunarholrýmd í neðra burðarlag</w:t>
      </w:r>
      <w:r w:rsidR="00A76ABC">
        <w:rPr>
          <w:lang w:val="is-IS"/>
        </w:rPr>
        <w:t>smalbiki</w:t>
      </w:r>
      <w:r>
        <w:rPr>
          <w:lang w:val="is-IS"/>
        </w:rPr>
        <w:t xml:space="preserve">. Með hliðsjón af sænsku verklýsingunum </w:t>
      </w:r>
      <w:r w:rsidR="009D060A">
        <w:rPr>
          <w:lang w:val="is-IS"/>
        </w:rPr>
        <w:t>[</w:t>
      </w:r>
      <w:r>
        <w:rPr>
          <w:lang w:val="is-IS"/>
        </w:rPr>
        <w:t>Vägverket, bls. 4</w:t>
      </w:r>
      <w:r w:rsidR="009D060A">
        <w:rPr>
          <w:lang w:val="is-IS"/>
        </w:rPr>
        <w:t>]</w:t>
      </w:r>
      <w:r>
        <w:rPr>
          <w:lang w:val="is-IS"/>
        </w:rPr>
        <w:t xml:space="preserve"> er þó líklega til bóta að breyta holrýmdarkröfunum frá því sem tilgreint er í S-16 þannig að þær verði: </w:t>
      </w:r>
    </w:p>
    <w:p w14:paraId="33D07F06" w14:textId="3C54AF24" w:rsidR="009E66E9" w:rsidRDefault="009E66E9" w:rsidP="009E66E9">
      <w:pPr>
        <w:numPr>
          <w:ilvl w:val="0"/>
          <w:numId w:val="5"/>
        </w:numPr>
        <w:jc w:val="both"/>
        <w:rPr>
          <w:lang w:val="is-IS"/>
        </w:rPr>
      </w:pPr>
      <w:r>
        <w:rPr>
          <w:lang w:val="is-IS"/>
        </w:rPr>
        <w:t>Fyrir BRL 16: 2,0-6,0% (2,0-4,0 sem bráðabirgðaslitlag).</w:t>
      </w:r>
    </w:p>
    <w:p w14:paraId="33D07F07" w14:textId="17CFCED9" w:rsidR="009E66E9" w:rsidRDefault="009E66E9" w:rsidP="00F423B4">
      <w:pPr>
        <w:numPr>
          <w:ilvl w:val="0"/>
          <w:numId w:val="5"/>
        </w:numPr>
        <w:spacing w:after="60"/>
        <w:ind w:left="782" w:hanging="357"/>
        <w:jc w:val="both"/>
        <w:rPr>
          <w:lang w:val="is-IS"/>
        </w:rPr>
      </w:pPr>
      <w:r>
        <w:rPr>
          <w:lang w:val="is-IS"/>
        </w:rPr>
        <w:t>Fyrir BRL 22: 2,0-6,0% (2,0-4,0 sem bráðabirgðaslitlag).</w:t>
      </w:r>
    </w:p>
    <w:p w14:paraId="33D07F08" w14:textId="47433F67" w:rsidR="009E66E9" w:rsidRDefault="009E66E9" w:rsidP="00A33062">
      <w:pPr>
        <w:jc w:val="both"/>
        <w:rPr>
          <w:lang w:val="is-IS"/>
        </w:rPr>
      </w:pPr>
      <w:r>
        <w:rPr>
          <w:lang w:val="is-IS"/>
        </w:rPr>
        <w:t>Þá ætti holrýmd í útlögðu burðarlagi í hæsta lagi að fara í 11%, miðað við 95% þjöppunar</w:t>
      </w:r>
      <w:r>
        <w:rPr>
          <w:lang w:val="is-IS"/>
        </w:rPr>
        <w:softHyphen/>
        <w:t>hlutfall. Hvað kröfur um holrýmd í bráðabirgðaslitlagi varðar er tæpast ástæða til að hrófla við þeim, hætta á skemmdum á einum vetri er líkast til óveruleg þótt holrýmdin sé 4% (6% í útlögðu malbiki, miðað við 98% þjöppunarhlutfall en það verður að tiltaka í kafla um holrýmd í útlögðu malbiki).</w:t>
      </w:r>
    </w:p>
    <w:p w14:paraId="33D07F09" w14:textId="77777777" w:rsidR="009E66E9" w:rsidRDefault="009E66E9" w:rsidP="00A33062">
      <w:pPr>
        <w:rPr>
          <w:lang w:val="is-IS"/>
        </w:rPr>
      </w:pPr>
    </w:p>
    <w:p w14:paraId="5C8A94FF" w14:textId="77777777" w:rsidR="00D14E7C" w:rsidRDefault="00D14E7C">
      <w:pPr>
        <w:overflowPunct/>
        <w:autoSpaceDE/>
        <w:autoSpaceDN/>
        <w:adjustRightInd/>
        <w:textAlignment w:val="auto"/>
        <w:rPr>
          <w:b/>
          <w:sz w:val="20"/>
          <w:lang w:val="is-IS"/>
        </w:rPr>
      </w:pPr>
      <w:r>
        <w:rPr>
          <w:b/>
          <w:sz w:val="20"/>
          <w:lang w:val="is-IS"/>
        </w:rPr>
        <w:br w:type="page"/>
      </w:r>
    </w:p>
    <w:p w14:paraId="33D07F0A" w14:textId="64D50E18" w:rsidR="009E66E9" w:rsidRPr="009E66E9" w:rsidRDefault="009E66E9" w:rsidP="00A33062">
      <w:pPr>
        <w:spacing w:after="60"/>
        <w:ind w:left="170" w:right="200"/>
        <w:jc w:val="both"/>
        <w:rPr>
          <w:sz w:val="20"/>
          <w:lang w:val="is-IS"/>
        </w:rPr>
      </w:pPr>
      <w:r w:rsidRPr="009E66E9">
        <w:rPr>
          <w:b/>
          <w:sz w:val="20"/>
          <w:lang w:val="is-IS"/>
        </w:rPr>
        <w:lastRenderedPageBreak/>
        <w:t>Tafla 1.</w:t>
      </w:r>
      <w:r w:rsidRPr="009E66E9">
        <w:rPr>
          <w:sz w:val="20"/>
          <w:lang w:val="is-IS"/>
        </w:rPr>
        <w:t xml:space="preserve"> Hönnunarkröfur til holrýmdar í malbiki, (Marshallholrýmd), takmarkaðar við </w:t>
      </w:r>
      <w:r w:rsidR="00A76ABC">
        <w:rPr>
          <w:sz w:val="20"/>
          <w:lang w:val="is-IS"/>
        </w:rPr>
        <w:t xml:space="preserve">PG </w:t>
      </w:r>
      <w:r w:rsidRPr="009E66E9">
        <w:rPr>
          <w:sz w:val="20"/>
          <w:lang w:val="is-IS"/>
        </w:rPr>
        <w:t>160/220</w:t>
      </w:r>
      <w:r w:rsidR="00A76ABC">
        <w:rPr>
          <w:sz w:val="20"/>
          <w:lang w:val="is-IS"/>
        </w:rPr>
        <w:t xml:space="preserve"> bik</w:t>
      </w:r>
      <w:r w:rsidRPr="009E66E9">
        <w:rPr>
          <w:sz w:val="20"/>
          <w:lang w:val="is-IS"/>
        </w:rPr>
        <w:t xml:space="preserve">, teknar úr nokkrum heimildum. </w:t>
      </w:r>
    </w:p>
    <w:tbl>
      <w:tblPr>
        <w:tblStyle w:val="TableGrid"/>
        <w:tblW w:w="0" w:type="auto"/>
        <w:jc w:val="center"/>
        <w:tblLayout w:type="fixed"/>
        <w:tblLook w:val="01E0" w:firstRow="1" w:lastRow="1" w:firstColumn="1" w:lastColumn="1" w:noHBand="0" w:noVBand="0"/>
      </w:tblPr>
      <w:tblGrid>
        <w:gridCol w:w="1675"/>
        <w:gridCol w:w="790"/>
        <w:gridCol w:w="790"/>
        <w:gridCol w:w="790"/>
        <w:gridCol w:w="790"/>
        <w:gridCol w:w="790"/>
        <w:gridCol w:w="790"/>
        <w:gridCol w:w="790"/>
        <w:gridCol w:w="790"/>
      </w:tblGrid>
      <w:tr w:rsidR="009E66E9" w14:paraId="33D07F0F" w14:textId="77777777" w:rsidTr="00C45043">
        <w:trPr>
          <w:trHeight w:val="207"/>
          <w:jc w:val="center"/>
        </w:trPr>
        <w:tc>
          <w:tcPr>
            <w:tcW w:w="1675" w:type="dxa"/>
            <w:vMerge w:val="restart"/>
            <w:shd w:val="clear" w:color="auto" w:fill="D9E2F3" w:themeFill="accent5" w:themeFillTint="33"/>
            <w:vAlign w:val="center"/>
          </w:tcPr>
          <w:p w14:paraId="33D07F0B" w14:textId="77777777" w:rsidR="009E66E9" w:rsidRPr="001D10CA" w:rsidRDefault="009E66E9" w:rsidP="00F423B4">
            <w:pPr>
              <w:rPr>
                <w:b/>
                <w:sz w:val="18"/>
                <w:szCs w:val="18"/>
                <w:lang w:val="is-IS"/>
              </w:rPr>
            </w:pPr>
            <w:r w:rsidRPr="001D10CA">
              <w:rPr>
                <w:b/>
                <w:sz w:val="18"/>
                <w:szCs w:val="18"/>
                <w:lang w:val="is-IS"/>
              </w:rPr>
              <w:t>Verklýsing</w:t>
            </w:r>
          </w:p>
        </w:tc>
        <w:tc>
          <w:tcPr>
            <w:tcW w:w="1580" w:type="dxa"/>
            <w:gridSpan w:val="2"/>
            <w:vMerge w:val="restart"/>
            <w:shd w:val="clear" w:color="auto" w:fill="D9E2F3" w:themeFill="accent5" w:themeFillTint="33"/>
            <w:vAlign w:val="center"/>
          </w:tcPr>
          <w:p w14:paraId="33D07F0C" w14:textId="77777777" w:rsidR="009E66E9" w:rsidRPr="001D10CA" w:rsidRDefault="009E66E9" w:rsidP="00F423B4">
            <w:pPr>
              <w:jc w:val="center"/>
              <w:rPr>
                <w:b/>
                <w:sz w:val="18"/>
                <w:szCs w:val="18"/>
                <w:lang w:val="is-IS"/>
              </w:rPr>
            </w:pPr>
            <w:r w:rsidRPr="001D10CA">
              <w:rPr>
                <w:b/>
                <w:sz w:val="18"/>
                <w:szCs w:val="18"/>
                <w:lang w:val="is-IS"/>
              </w:rPr>
              <w:t>BUSL S-16</w:t>
            </w:r>
          </w:p>
        </w:tc>
        <w:tc>
          <w:tcPr>
            <w:tcW w:w="1580" w:type="dxa"/>
            <w:gridSpan w:val="2"/>
            <w:vMerge w:val="restart"/>
            <w:shd w:val="clear" w:color="auto" w:fill="D9E2F3" w:themeFill="accent5" w:themeFillTint="33"/>
            <w:vAlign w:val="center"/>
          </w:tcPr>
          <w:p w14:paraId="33D07F0D" w14:textId="5165C8C9" w:rsidR="009E66E9" w:rsidRPr="001D10CA" w:rsidRDefault="009E66E9" w:rsidP="00F423B4">
            <w:pPr>
              <w:jc w:val="center"/>
              <w:rPr>
                <w:b/>
                <w:sz w:val="18"/>
                <w:szCs w:val="18"/>
                <w:lang w:val="is-IS"/>
              </w:rPr>
            </w:pPr>
            <w:r w:rsidRPr="001D10CA">
              <w:rPr>
                <w:b/>
                <w:sz w:val="18"/>
                <w:szCs w:val="18"/>
                <w:lang w:val="is-IS"/>
              </w:rPr>
              <w:t>ATB VÄG 2005</w:t>
            </w:r>
          </w:p>
        </w:tc>
        <w:tc>
          <w:tcPr>
            <w:tcW w:w="3160" w:type="dxa"/>
            <w:gridSpan w:val="4"/>
            <w:shd w:val="clear" w:color="auto" w:fill="D9E2F3" w:themeFill="accent5" w:themeFillTint="33"/>
          </w:tcPr>
          <w:p w14:paraId="33D07F0E" w14:textId="77777777" w:rsidR="009E66E9" w:rsidRPr="001D10CA" w:rsidRDefault="009E66E9" w:rsidP="00F423B4">
            <w:pPr>
              <w:jc w:val="center"/>
              <w:rPr>
                <w:b/>
                <w:sz w:val="18"/>
                <w:szCs w:val="18"/>
                <w:lang w:val="is-IS"/>
              </w:rPr>
            </w:pPr>
            <w:r w:rsidRPr="001D10CA">
              <w:rPr>
                <w:b/>
                <w:sz w:val="18"/>
                <w:szCs w:val="18"/>
                <w:lang w:val="is-IS"/>
              </w:rPr>
              <w:t>Vegbygging 2005</w:t>
            </w:r>
          </w:p>
        </w:tc>
      </w:tr>
      <w:tr w:rsidR="009E66E9" w14:paraId="33D07F15" w14:textId="77777777" w:rsidTr="00C45043">
        <w:trPr>
          <w:trHeight w:val="206"/>
          <w:jc w:val="center"/>
        </w:trPr>
        <w:tc>
          <w:tcPr>
            <w:tcW w:w="1675" w:type="dxa"/>
            <w:vMerge/>
            <w:shd w:val="clear" w:color="auto" w:fill="D9E2F3" w:themeFill="accent5" w:themeFillTint="33"/>
          </w:tcPr>
          <w:p w14:paraId="33D07F10" w14:textId="77777777" w:rsidR="009E66E9" w:rsidRPr="001D10CA" w:rsidRDefault="009E66E9" w:rsidP="00F423B4">
            <w:pPr>
              <w:rPr>
                <w:b/>
                <w:sz w:val="18"/>
                <w:szCs w:val="18"/>
                <w:lang w:val="is-IS"/>
              </w:rPr>
            </w:pPr>
          </w:p>
        </w:tc>
        <w:tc>
          <w:tcPr>
            <w:tcW w:w="1580" w:type="dxa"/>
            <w:gridSpan w:val="2"/>
            <w:vMerge/>
            <w:shd w:val="clear" w:color="auto" w:fill="D9E2F3" w:themeFill="accent5" w:themeFillTint="33"/>
          </w:tcPr>
          <w:p w14:paraId="33D07F11" w14:textId="77777777" w:rsidR="009E66E9" w:rsidRPr="001D10CA" w:rsidRDefault="009E66E9" w:rsidP="00F423B4">
            <w:pPr>
              <w:jc w:val="center"/>
              <w:rPr>
                <w:b/>
                <w:sz w:val="18"/>
                <w:szCs w:val="18"/>
                <w:lang w:val="is-IS"/>
              </w:rPr>
            </w:pPr>
          </w:p>
        </w:tc>
        <w:tc>
          <w:tcPr>
            <w:tcW w:w="1580" w:type="dxa"/>
            <w:gridSpan w:val="2"/>
            <w:vMerge/>
            <w:shd w:val="clear" w:color="auto" w:fill="D9E2F3" w:themeFill="accent5" w:themeFillTint="33"/>
          </w:tcPr>
          <w:p w14:paraId="33D07F12" w14:textId="77777777" w:rsidR="009E66E9" w:rsidRPr="001D10CA" w:rsidRDefault="009E66E9" w:rsidP="00F423B4">
            <w:pPr>
              <w:jc w:val="center"/>
              <w:rPr>
                <w:b/>
                <w:sz w:val="18"/>
                <w:szCs w:val="18"/>
                <w:lang w:val="is-IS"/>
              </w:rPr>
            </w:pPr>
          </w:p>
        </w:tc>
        <w:tc>
          <w:tcPr>
            <w:tcW w:w="1580" w:type="dxa"/>
            <w:gridSpan w:val="2"/>
            <w:shd w:val="clear" w:color="auto" w:fill="D9E2F3" w:themeFill="accent5" w:themeFillTint="33"/>
          </w:tcPr>
          <w:p w14:paraId="33D07F13" w14:textId="77777777" w:rsidR="009E66E9" w:rsidRPr="001D10CA" w:rsidRDefault="009E66E9" w:rsidP="00F423B4">
            <w:pPr>
              <w:jc w:val="center"/>
              <w:rPr>
                <w:b/>
                <w:sz w:val="18"/>
                <w:szCs w:val="18"/>
                <w:lang w:val="is-IS"/>
              </w:rPr>
            </w:pPr>
            <w:r w:rsidRPr="001D10CA">
              <w:rPr>
                <w:b/>
                <w:sz w:val="18"/>
                <w:szCs w:val="18"/>
                <w:lang w:val="is-IS"/>
              </w:rPr>
              <w:t>Neðra burðarlag</w:t>
            </w:r>
          </w:p>
        </w:tc>
        <w:tc>
          <w:tcPr>
            <w:tcW w:w="1580" w:type="dxa"/>
            <w:gridSpan w:val="2"/>
            <w:shd w:val="clear" w:color="auto" w:fill="D9E2F3" w:themeFill="accent5" w:themeFillTint="33"/>
          </w:tcPr>
          <w:p w14:paraId="33D07F14" w14:textId="77777777" w:rsidR="009E66E9" w:rsidRPr="001D10CA" w:rsidRDefault="009E66E9" w:rsidP="00F423B4">
            <w:pPr>
              <w:jc w:val="center"/>
              <w:rPr>
                <w:b/>
                <w:sz w:val="18"/>
                <w:szCs w:val="18"/>
                <w:lang w:val="is-IS"/>
              </w:rPr>
            </w:pPr>
            <w:r w:rsidRPr="001D10CA">
              <w:rPr>
                <w:b/>
                <w:sz w:val="18"/>
                <w:szCs w:val="18"/>
                <w:lang w:val="is-IS"/>
              </w:rPr>
              <w:t>Efra burðarlag</w:t>
            </w:r>
          </w:p>
        </w:tc>
      </w:tr>
      <w:tr w:rsidR="009E66E9" w14:paraId="33D07F1F" w14:textId="77777777" w:rsidTr="00C45043">
        <w:trPr>
          <w:jc w:val="center"/>
        </w:trPr>
        <w:tc>
          <w:tcPr>
            <w:tcW w:w="1675" w:type="dxa"/>
            <w:shd w:val="clear" w:color="auto" w:fill="D9E2F3" w:themeFill="accent5" w:themeFillTint="33"/>
          </w:tcPr>
          <w:p w14:paraId="33D07F16" w14:textId="77777777" w:rsidR="009E66E9" w:rsidRPr="001D10CA" w:rsidRDefault="009E66E9" w:rsidP="00F423B4">
            <w:pPr>
              <w:rPr>
                <w:b/>
                <w:sz w:val="18"/>
                <w:szCs w:val="18"/>
                <w:lang w:val="is-IS"/>
              </w:rPr>
            </w:pPr>
            <w:r w:rsidRPr="001D10CA">
              <w:rPr>
                <w:b/>
                <w:sz w:val="18"/>
                <w:szCs w:val="18"/>
                <w:lang w:val="is-IS"/>
              </w:rPr>
              <w:t>Burðarlagsgerð</w:t>
            </w:r>
          </w:p>
        </w:tc>
        <w:tc>
          <w:tcPr>
            <w:tcW w:w="790" w:type="dxa"/>
            <w:shd w:val="clear" w:color="auto" w:fill="D9E2F3" w:themeFill="accent5" w:themeFillTint="33"/>
          </w:tcPr>
          <w:p w14:paraId="33D07F17" w14:textId="77777777" w:rsidR="009E66E9" w:rsidRPr="001D10CA" w:rsidRDefault="009E66E9" w:rsidP="00F423B4">
            <w:pPr>
              <w:jc w:val="center"/>
              <w:rPr>
                <w:b/>
                <w:sz w:val="18"/>
                <w:szCs w:val="18"/>
                <w:lang w:val="is-IS"/>
              </w:rPr>
            </w:pPr>
            <w:r w:rsidRPr="001D10CA">
              <w:rPr>
                <w:b/>
                <w:sz w:val="18"/>
                <w:szCs w:val="18"/>
                <w:lang w:val="is-IS"/>
              </w:rPr>
              <w:t>Minnst</w:t>
            </w:r>
          </w:p>
        </w:tc>
        <w:tc>
          <w:tcPr>
            <w:tcW w:w="790" w:type="dxa"/>
            <w:shd w:val="clear" w:color="auto" w:fill="D9E2F3" w:themeFill="accent5" w:themeFillTint="33"/>
          </w:tcPr>
          <w:p w14:paraId="33D07F18" w14:textId="77777777" w:rsidR="009E66E9" w:rsidRPr="001D10CA" w:rsidRDefault="009E66E9" w:rsidP="00F423B4">
            <w:pPr>
              <w:jc w:val="center"/>
              <w:rPr>
                <w:b/>
                <w:sz w:val="18"/>
                <w:szCs w:val="18"/>
                <w:lang w:val="is-IS"/>
              </w:rPr>
            </w:pPr>
            <w:r w:rsidRPr="001D10CA">
              <w:rPr>
                <w:b/>
                <w:sz w:val="18"/>
                <w:szCs w:val="18"/>
                <w:lang w:val="is-IS"/>
              </w:rPr>
              <w:t>Mest</w:t>
            </w:r>
          </w:p>
        </w:tc>
        <w:tc>
          <w:tcPr>
            <w:tcW w:w="790" w:type="dxa"/>
            <w:shd w:val="clear" w:color="auto" w:fill="D9E2F3" w:themeFill="accent5" w:themeFillTint="33"/>
          </w:tcPr>
          <w:p w14:paraId="33D07F19" w14:textId="77777777" w:rsidR="009E66E9" w:rsidRPr="001D10CA" w:rsidRDefault="009E66E9" w:rsidP="00F423B4">
            <w:pPr>
              <w:jc w:val="center"/>
              <w:rPr>
                <w:b/>
                <w:sz w:val="18"/>
                <w:szCs w:val="18"/>
                <w:lang w:val="is-IS"/>
              </w:rPr>
            </w:pPr>
            <w:r w:rsidRPr="001D10CA">
              <w:rPr>
                <w:b/>
                <w:sz w:val="18"/>
                <w:szCs w:val="18"/>
                <w:lang w:val="is-IS"/>
              </w:rPr>
              <w:t>Minnst</w:t>
            </w:r>
          </w:p>
        </w:tc>
        <w:tc>
          <w:tcPr>
            <w:tcW w:w="790" w:type="dxa"/>
            <w:shd w:val="clear" w:color="auto" w:fill="D9E2F3" w:themeFill="accent5" w:themeFillTint="33"/>
          </w:tcPr>
          <w:p w14:paraId="33D07F1A" w14:textId="77777777" w:rsidR="009E66E9" w:rsidRPr="001D10CA" w:rsidRDefault="009E66E9" w:rsidP="00F423B4">
            <w:pPr>
              <w:jc w:val="center"/>
              <w:rPr>
                <w:b/>
                <w:sz w:val="18"/>
                <w:szCs w:val="18"/>
                <w:lang w:val="is-IS"/>
              </w:rPr>
            </w:pPr>
            <w:r w:rsidRPr="001D10CA">
              <w:rPr>
                <w:b/>
                <w:sz w:val="18"/>
                <w:szCs w:val="18"/>
                <w:lang w:val="is-IS"/>
              </w:rPr>
              <w:t>Mest</w:t>
            </w:r>
          </w:p>
        </w:tc>
        <w:tc>
          <w:tcPr>
            <w:tcW w:w="790" w:type="dxa"/>
            <w:shd w:val="clear" w:color="auto" w:fill="D9E2F3" w:themeFill="accent5" w:themeFillTint="33"/>
          </w:tcPr>
          <w:p w14:paraId="33D07F1B" w14:textId="77777777" w:rsidR="009E66E9" w:rsidRPr="001D10CA" w:rsidRDefault="009E66E9" w:rsidP="00F423B4">
            <w:pPr>
              <w:jc w:val="center"/>
              <w:rPr>
                <w:b/>
                <w:sz w:val="18"/>
                <w:szCs w:val="18"/>
                <w:lang w:val="is-IS"/>
              </w:rPr>
            </w:pPr>
            <w:r w:rsidRPr="001D10CA">
              <w:rPr>
                <w:b/>
                <w:sz w:val="18"/>
                <w:szCs w:val="18"/>
                <w:lang w:val="is-IS"/>
              </w:rPr>
              <w:t>Minnst</w:t>
            </w:r>
          </w:p>
        </w:tc>
        <w:tc>
          <w:tcPr>
            <w:tcW w:w="790" w:type="dxa"/>
            <w:shd w:val="clear" w:color="auto" w:fill="D9E2F3" w:themeFill="accent5" w:themeFillTint="33"/>
          </w:tcPr>
          <w:p w14:paraId="33D07F1C" w14:textId="77777777" w:rsidR="009E66E9" w:rsidRPr="001D10CA" w:rsidRDefault="009E66E9" w:rsidP="00F423B4">
            <w:pPr>
              <w:jc w:val="center"/>
              <w:rPr>
                <w:b/>
                <w:sz w:val="18"/>
                <w:szCs w:val="18"/>
                <w:lang w:val="is-IS"/>
              </w:rPr>
            </w:pPr>
            <w:r w:rsidRPr="001D10CA">
              <w:rPr>
                <w:b/>
                <w:sz w:val="18"/>
                <w:szCs w:val="18"/>
                <w:lang w:val="is-IS"/>
              </w:rPr>
              <w:t>Mest</w:t>
            </w:r>
          </w:p>
        </w:tc>
        <w:tc>
          <w:tcPr>
            <w:tcW w:w="790" w:type="dxa"/>
            <w:shd w:val="clear" w:color="auto" w:fill="D9E2F3" w:themeFill="accent5" w:themeFillTint="33"/>
          </w:tcPr>
          <w:p w14:paraId="33D07F1D" w14:textId="77777777" w:rsidR="009E66E9" w:rsidRPr="001D10CA" w:rsidRDefault="009E66E9" w:rsidP="00F423B4">
            <w:pPr>
              <w:jc w:val="center"/>
              <w:rPr>
                <w:b/>
                <w:sz w:val="18"/>
                <w:szCs w:val="18"/>
                <w:lang w:val="is-IS"/>
              </w:rPr>
            </w:pPr>
            <w:r w:rsidRPr="001D10CA">
              <w:rPr>
                <w:b/>
                <w:sz w:val="18"/>
                <w:szCs w:val="18"/>
                <w:lang w:val="is-IS"/>
              </w:rPr>
              <w:t>Minnst</w:t>
            </w:r>
          </w:p>
        </w:tc>
        <w:tc>
          <w:tcPr>
            <w:tcW w:w="790" w:type="dxa"/>
            <w:shd w:val="clear" w:color="auto" w:fill="D9E2F3" w:themeFill="accent5" w:themeFillTint="33"/>
          </w:tcPr>
          <w:p w14:paraId="33D07F1E" w14:textId="77777777" w:rsidR="009E66E9" w:rsidRPr="001D10CA" w:rsidRDefault="009E66E9" w:rsidP="00F423B4">
            <w:pPr>
              <w:jc w:val="center"/>
              <w:rPr>
                <w:b/>
                <w:sz w:val="18"/>
                <w:szCs w:val="18"/>
                <w:lang w:val="is-IS"/>
              </w:rPr>
            </w:pPr>
            <w:r w:rsidRPr="001D10CA">
              <w:rPr>
                <w:b/>
                <w:sz w:val="18"/>
                <w:szCs w:val="18"/>
                <w:lang w:val="is-IS"/>
              </w:rPr>
              <w:t>Mest</w:t>
            </w:r>
          </w:p>
        </w:tc>
      </w:tr>
      <w:tr w:rsidR="009E66E9" w14:paraId="33D07F29" w14:textId="77777777" w:rsidTr="00C45043">
        <w:trPr>
          <w:jc w:val="center"/>
        </w:trPr>
        <w:tc>
          <w:tcPr>
            <w:tcW w:w="1675" w:type="dxa"/>
            <w:shd w:val="clear" w:color="auto" w:fill="D9E2F3" w:themeFill="accent5" w:themeFillTint="33"/>
          </w:tcPr>
          <w:p w14:paraId="33D07F20" w14:textId="77777777" w:rsidR="009E66E9" w:rsidRPr="004A76B8" w:rsidRDefault="009E66E9" w:rsidP="00F423B4">
            <w:pPr>
              <w:rPr>
                <w:sz w:val="18"/>
                <w:szCs w:val="18"/>
                <w:lang w:val="is-IS"/>
              </w:rPr>
            </w:pPr>
            <w:r w:rsidRPr="004A76B8">
              <w:rPr>
                <w:sz w:val="18"/>
                <w:szCs w:val="18"/>
                <w:lang w:val="is-IS"/>
              </w:rPr>
              <w:t>AG 16</w:t>
            </w:r>
          </w:p>
        </w:tc>
        <w:tc>
          <w:tcPr>
            <w:tcW w:w="790" w:type="dxa"/>
            <w:shd w:val="clear" w:color="auto" w:fill="FFF2CC" w:themeFill="accent4" w:themeFillTint="33"/>
          </w:tcPr>
          <w:p w14:paraId="33D07F21"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22"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23" w14:textId="77777777" w:rsidR="009E66E9" w:rsidRPr="004A76B8" w:rsidRDefault="009E66E9" w:rsidP="00F423B4">
            <w:pPr>
              <w:jc w:val="center"/>
              <w:rPr>
                <w:sz w:val="18"/>
                <w:szCs w:val="18"/>
                <w:lang w:val="is-IS"/>
              </w:rPr>
            </w:pPr>
            <w:r w:rsidRPr="004A76B8">
              <w:rPr>
                <w:sz w:val="18"/>
                <w:szCs w:val="18"/>
                <w:lang w:val="is-IS"/>
              </w:rPr>
              <w:t>4,0</w:t>
            </w:r>
          </w:p>
        </w:tc>
        <w:tc>
          <w:tcPr>
            <w:tcW w:w="790" w:type="dxa"/>
            <w:shd w:val="clear" w:color="auto" w:fill="FFF2CC" w:themeFill="accent4" w:themeFillTint="33"/>
          </w:tcPr>
          <w:p w14:paraId="33D07F24" w14:textId="77777777" w:rsidR="009E66E9" w:rsidRPr="004A76B8" w:rsidRDefault="009E66E9" w:rsidP="00F423B4">
            <w:pPr>
              <w:jc w:val="center"/>
              <w:rPr>
                <w:sz w:val="18"/>
                <w:szCs w:val="18"/>
                <w:lang w:val="is-IS"/>
              </w:rPr>
            </w:pPr>
            <w:r w:rsidRPr="004A76B8">
              <w:rPr>
                <w:sz w:val="18"/>
                <w:szCs w:val="18"/>
                <w:lang w:val="is-IS"/>
              </w:rPr>
              <w:t>6,0</w:t>
            </w:r>
          </w:p>
        </w:tc>
        <w:tc>
          <w:tcPr>
            <w:tcW w:w="790" w:type="dxa"/>
            <w:shd w:val="clear" w:color="auto" w:fill="FFF2CC" w:themeFill="accent4" w:themeFillTint="33"/>
          </w:tcPr>
          <w:p w14:paraId="33D07F25"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26"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27"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28" w14:textId="77777777" w:rsidR="009E66E9" w:rsidRPr="004A76B8" w:rsidRDefault="009E66E9" w:rsidP="00F423B4">
            <w:pPr>
              <w:jc w:val="center"/>
              <w:rPr>
                <w:sz w:val="18"/>
                <w:szCs w:val="18"/>
                <w:lang w:val="is-IS"/>
              </w:rPr>
            </w:pPr>
          </w:p>
        </w:tc>
      </w:tr>
      <w:tr w:rsidR="009E66E9" w14:paraId="33D07F33" w14:textId="77777777" w:rsidTr="00C45043">
        <w:trPr>
          <w:jc w:val="center"/>
        </w:trPr>
        <w:tc>
          <w:tcPr>
            <w:tcW w:w="1675" w:type="dxa"/>
            <w:shd w:val="clear" w:color="auto" w:fill="D9E2F3" w:themeFill="accent5" w:themeFillTint="33"/>
          </w:tcPr>
          <w:p w14:paraId="33D07F2A" w14:textId="77777777" w:rsidR="009E66E9" w:rsidRPr="004A76B8" w:rsidRDefault="009E66E9" w:rsidP="00F423B4">
            <w:pPr>
              <w:rPr>
                <w:sz w:val="18"/>
                <w:szCs w:val="18"/>
                <w:lang w:val="is-IS"/>
              </w:rPr>
            </w:pPr>
            <w:r w:rsidRPr="004A76B8">
              <w:rPr>
                <w:sz w:val="18"/>
                <w:szCs w:val="18"/>
                <w:lang w:val="is-IS"/>
              </w:rPr>
              <w:t>AG 22*</w:t>
            </w:r>
          </w:p>
        </w:tc>
        <w:tc>
          <w:tcPr>
            <w:tcW w:w="790" w:type="dxa"/>
            <w:shd w:val="clear" w:color="auto" w:fill="FFF2CC" w:themeFill="accent4" w:themeFillTint="33"/>
          </w:tcPr>
          <w:p w14:paraId="33D07F2B"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2C"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2D" w14:textId="77777777" w:rsidR="009E66E9" w:rsidRPr="004A76B8" w:rsidRDefault="009E66E9" w:rsidP="00F423B4">
            <w:pPr>
              <w:jc w:val="center"/>
              <w:rPr>
                <w:sz w:val="18"/>
                <w:szCs w:val="18"/>
                <w:lang w:val="is-IS"/>
              </w:rPr>
            </w:pPr>
            <w:r w:rsidRPr="004A76B8">
              <w:rPr>
                <w:sz w:val="18"/>
                <w:szCs w:val="18"/>
                <w:lang w:val="is-IS"/>
              </w:rPr>
              <w:t>3,0</w:t>
            </w:r>
          </w:p>
        </w:tc>
        <w:tc>
          <w:tcPr>
            <w:tcW w:w="790" w:type="dxa"/>
            <w:shd w:val="clear" w:color="auto" w:fill="FFF2CC" w:themeFill="accent4" w:themeFillTint="33"/>
          </w:tcPr>
          <w:p w14:paraId="33D07F2E" w14:textId="77777777" w:rsidR="009E66E9" w:rsidRPr="004A76B8" w:rsidRDefault="009E66E9" w:rsidP="00F423B4">
            <w:pPr>
              <w:jc w:val="center"/>
              <w:rPr>
                <w:sz w:val="18"/>
                <w:szCs w:val="18"/>
                <w:lang w:val="is-IS"/>
              </w:rPr>
            </w:pPr>
            <w:r w:rsidRPr="004A76B8">
              <w:rPr>
                <w:sz w:val="18"/>
                <w:szCs w:val="18"/>
                <w:lang w:val="is-IS"/>
              </w:rPr>
              <w:t>9,0</w:t>
            </w:r>
          </w:p>
        </w:tc>
        <w:tc>
          <w:tcPr>
            <w:tcW w:w="790" w:type="dxa"/>
            <w:shd w:val="clear" w:color="auto" w:fill="FFF2CC" w:themeFill="accent4" w:themeFillTint="33"/>
          </w:tcPr>
          <w:p w14:paraId="33D07F2F"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30"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31"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32" w14:textId="77777777" w:rsidR="009E66E9" w:rsidRPr="004A76B8" w:rsidRDefault="009E66E9" w:rsidP="00F423B4">
            <w:pPr>
              <w:jc w:val="center"/>
              <w:rPr>
                <w:sz w:val="18"/>
                <w:szCs w:val="18"/>
                <w:lang w:val="is-IS"/>
              </w:rPr>
            </w:pPr>
          </w:p>
        </w:tc>
      </w:tr>
      <w:tr w:rsidR="009E66E9" w14:paraId="33D07F3D" w14:textId="77777777" w:rsidTr="00C45043">
        <w:trPr>
          <w:jc w:val="center"/>
        </w:trPr>
        <w:tc>
          <w:tcPr>
            <w:tcW w:w="1675" w:type="dxa"/>
            <w:shd w:val="clear" w:color="auto" w:fill="D9E2F3" w:themeFill="accent5" w:themeFillTint="33"/>
          </w:tcPr>
          <w:p w14:paraId="33D07F34" w14:textId="77777777" w:rsidR="009E66E9" w:rsidRPr="004A76B8" w:rsidRDefault="009E66E9" w:rsidP="00F423B4">
            <w:pPr>
              <w:rPr>
                <w:sz w:val="18"/>
                <w:szCs w:val="18"/>
                <w:lang w:val="is-IS"/>
              </w:rPr>
            </w:pPr>
            <w:r w:rsidRPr="004A76B8">
              <w:rPr>
                <w:sz w:val="18"/>
                <w:szCs w:val="18"/>
                <w:lang w:val="is-IS"/>
              </w:rPr>
              <w:t>AG 32*</w:t>
            </w:r>
          </w:p>
        </w:tc>
        <w:tc>
          <w:tcPr>
            <w:tcW w:w="790" w:type="dxa"/>
            <w:shd w:val="clear" w:color="auto" w:fill="FFF2CC" w:themeFill="accent4" w:themeFillTint="33"/>
          </w:tcPr>
          <w:p w14:paraId="33D07F35"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36"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37" w14:textId="77777777" w:rsidR="009E66E9" w:rsidRPr="004A76B8" w:rsidRDefault="009E66E9" w:rsidP="00F423B4">
            <w:pPr>
              <w:jc w:val="center"/>
              <w:rPr>
                <w:sz w:val="18"/>
                <w:szCs w:val="18"/>
                <w:lang w:val="is-IS"/>
              </w:rPr>
            </w:pPr>
            <w:r w:rsidRPr="004A76B8">
              <w:rPr>
                <w:sz w:val="18"/>
                <w:szCs w:val="18"/>
                <w:lang w:val="is-IS"/>
              </w:rPr>
              <w:t>3,0</w:t>
            </w:r>
          </w:p>
        </w:tc>
        <w:tc>
          <w:tcPr>
            <w:tcW w:w="790" w:type="dxa"/>
            <w:shd w:val="clear" w:color="auto" w:fill="FFF2CC" w:themeFill="accent4" w:themeFillTint="33"/>
          </w:tcPr>
          <w:p w14:paraId="33D07F38" w14:textId="77777777" w:rsidR="009E66E9" w:rsidRPr="004A76B8" w:rsidRDefault="009E66E9" w:rsidP="00F423B4">
            <w:pPr>
              <w:jc w:val="center"/>
              <w:rPr>
                <w:sz w:val="18"/>
                <w:szCs w:val="18"/>
                <w:lang w:val="is-IS"/>
              </w:rPr>
            </w:pPr>
            <w:r w:rsidRPr="004A76B8">
              <w:rPr>
                <w:sz w:val="18"/>
                <w:szCs w:val="18"/>
                <w:lang w:val="is-IS"/>
              </w:rPr>
              <w:t>9,0</w:t>
            </w:r>
          </w:p>
        </w:tc>
        <w:tc>
          <w:tcPr>
            <w:tcW w:w="790" w:type="dxa"/>
            <w:shd w:val="clear" w:color="auto" w:fill="FFF2CC" w:themeFill="accent4" w:themeFillTint="33"/>
          </w:tcPr>
          <w:p w14:paraId="33D07F39"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3A"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3B"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3C" w14:textId="77777777" w:rsidR="009E66E9" w:rsidRPr="004A76B8" w:rsidRDefault="009E66E9" w:rsidP="00F423B4">
            <w:pPr>
              <w:jc w:val="center"/>
              <w:rPr>
                <w:sz w:val="18"/>
                <w:szCs w:val="18"/>
                <w:lang w:val="is-IS"/>
              </w:rPr>
            </w:pPr>
          </w:p>
        </w:tc>
      </w:tr>
      <w:tr w:rsidR="009E66E9" w14:paraId="33D07F47" w14:textId="77777777" w:rsidTr="00C45043">
        <w:trPr>
          <w:jc w:val="center"/>
        </w:trPr>
        <w:tc>
          <w:tcPr>
            <w:tcW w:w="1675" w:type="dxa"/>
            <w:shd w:val="clear" w:color="auto" w:fill="D9E2F3" w:themeFill="accent5" w:themeFillTint="33"/>
          </w:tcPr>
          <w:p w14:paraId="33D07F3E" w14:textId="77777777" w:rsidR="009E66E9" w:rsidRPr="004A76B8" w:rsidRDefault="009E66E9" w:rsidP="00F423B4">
            <w:pPr>
              <w:rPr>
                <w:sz w:val="18"/>
                <w:szCs w:val="18"/>
                <w:lang w:val="is-IS"/>
              </w:rPr>
            </w:pPr>
            <w:r w:rsidRPr="004A76B8">
              <w:rPr>
                <w:sz w:val="18"/>
                <w:szCs w:val="18"/>
                <w:lang w:val="is-IS"/>
              </w:rPr>
              <w:t>BRL 16</w:t>
            </w:r>
          </w:p>
        </w:tc>
        <w:tc>
          <w:tcPr>
            <w:tcW w:w="790" w:type="dxa"/>
            <w:shd w:val="clear" w:color="auto" w:fill="FFF2CC" w:themeFill="accent4" w:themeFillTint="33"/>
          </w:tcPr>
          <w:p w14:paraId="33D07F3F" w14:textId="77777777" w:rsidR="009E66E9" w:rsidRPr="004A76B8" w:rsidRDefault="009E66E9" w:rsidP="00F423B4">
            <w:pPr>
              <w:jc w:val="center"/>
              <w:rPr>
                <w:sz w:val="18"/>
                <w:szCs w:val="18"/>
                <w:lang w:val="is-IS"/>
              </w:rPr>
            </w:pPr>
            <w:r w:rsidRPr="004A76B8">
              <w:rPr>
                <w:sz w:val="18"/>
                <w:szCs w:val="18"/>
                <w:lang w:val="is-IS"/>
              </w:rPr>
              <w:t>2,0</w:t>
            </w:r>
          </w:p>
        </w:tc>
        <w:tc>
          <w:tcPr>
            <w:tcW w:w="790" w:type="dxa"/>
            <w:shd w:val="clear" w:color="auto" w:fill="FFF2CC" w:themeFill="accent4" w:themeFillTint="33"/>
          </w:tcPr>
          <w:p w14:paraId="33D07F40" w14:textId="77777777" w:rsidR="009E66E9" w:rsidRPr="004A76B8" w:rsidRDefault="009E66E9" w:rsidP="00F423B4">
            <w:pPr>
              <w:jc w:val="center"/>
              <w:rPr>
                <w:sz w:val="18"/>
                <w:szCs w:val="18"/>
                <w:lang w:val="is-IS"/>
              </w:rPr>
            </w:pPr>
            <w:r w:rsidRPr="004A76B8">
              <w:rPr>
                <w:sz w:val="18"/>
                <w:szCs w:val="18"/>
                <w:lang w:val="is-IS"/>
              </w:rPr>
              <w:t>8,0</w:t>
            </w:r>
          </w:p>
        </w:tc>
        <w:tc>
          <w:tcPr>
            <w:tcW w:w="790" w:type="dxa"/>
            <w:shd w:val="clear" w:color="auto" w:fill="FFF2CC" w:themeFill="accent4" w:themeFillTint="33"/>
          </w:tcPr>
          <w:p w14:paraId="33D07F41"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42"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43"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44"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45"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46" w14:textId="77777777" w:rsidR="009E66E9" w:rsidRPr="004A76B8" w:rsidRDefault="009E66E9" w:rsidP="00F423B4">
            <w:pPr>
              <w:jc w:val="center"/>
              <w:rPr>
                <w:sz w:val="18"/>
                <w:szCs w:val="18"/>
                <w:lang w:val="is-IS"/>
              </w:rPr>
            </w:pPr>
          </w:p>
        </w:tc>
      </w:tr>
      <w:tr w:rsidR="009E66E9" w14:paraId="33D07F51" w14:textId="77777777" w:rsidTr="00C45043">
        <w:trPr>
          <w:jc w:val="center"/>
        </w:trPr>
        <w:tc>
          <w:tcPr>
            <w:tcW w:w="1675" w:type="dxa"/>
            <w:shd w:val="clear" w:color="auto" w:fill="D9E2F3" w:themeFill="accent5" w:themeFillTint="33"/>
          </w:tcPr>
          <w:p w14:paraId="33D07F48" w14:textId="77777777" w:rsidR="009E66E9" w:rsidRPr="004A76B8" w:rsidRDefault="009E66E9" w:rsidP="00F423B4">
            <w:pPr>
              <w:rPr>
                <w:sz w:val="18"/>
                <w:szCs w:val="18"/>
                <w:lang w:val="is-IS"/>
              </w:rPr>
            </w:pPr>
            <w:r w:rsidRPr="004A76B8">
              <w:rPr>
                <w:sz w:val="18"/>
                <w:szCs w:val="18"/>
                <w:lang w:val="is-IS"/>
              </w:rPr>
              <w:t>BRL 22</w:t>
            </w:r>
          </w:p>
        </w:tc>
        <w:tc>
          <w:tcPr>
            <w:tcW w:w="790" w:type="dxa"/>
            <w:shd w:val="clear" w:color="auto" w:fill="FFF2CC" w:themeFill="accent4" w:themeFillTint="33"/>
          </w:tcPr>
          <w:p w14:paraId="33D07F49" w14:textId="77777777" w:rsidR="009E66E9" w:rsidRPr="004A76B8" w:rsidRDefault="009E66E9" w:rsidP="00F423B4">
            <w:pPr>
              <w:jc w:val="center"/>
              <w:rPr>
                <w:sz w:val="18"/>
                <w:szCs w:val="18"/>
                <w:lang w:val="is-IS"/>
              </w:rPr>
            </w:pPr>
            <w:r w:rsidRPr="004A76B8">
              <w:rPr>
                <w:sz w:val="18"/>
                <w:szCs w:val="18"/>
                <w:lang w:val="is-IS"/>
              </w:rPr>
              <w:t>2,0</w:t>
            </w:r>
          </w:p>
        </w:tc>
        <w:tc>
          <w:tcPr>
            <w:tcW w:w="790" w:type="dxa"/>
            <w:shd w:val="clear" w:color="auto" w:fill="FFF2CC" w:themeFill="accent4" w:themeFillTint="33"/>
          </w:tcPr>
          <w:p w14:paraId="33D07F4A" w14:textId="77777777" w:rsidR="009E66E9" w:rsidRPr="004A76B8" w:rsidRDefault="009E66E9" w:rsidP="00F423B4">
            <w:pPr>
              <w:jc w:val="center"/>
              <w:rPr>
                <w:sz w:val="18"/>
                <w:szCs w:val="18"/>
                <w:lang w:val="is-IS"/>
              </w:rPr>
            </w:pPr>
            <w:r w:rsidRPr="004A76B8">
              <w:rPr>
                <w:sz w:val="18"/>
                <w:szCs w:val="18"/>
                <w:lang w:val="is-IS"/>
              </w:rPr>
              <w:t>8,0</w:t>
            </w:r>
          </w:p>
        </w:tc>
        <w:tc>
          <w:tcPr>
            <w:tcW w:w="790" w:type="dxa"/>
            <w:shd w:val="clear" w:color="auto" w:fill="FFF2CC" w:themeFill="accent4" w:themeFillTint="33"/>
          </w:tcPr>
          <w:p w14:paraId="33D07F4B"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4C"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4D"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4E"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4F"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50" w14:textId="77777777" w:rsidR="009E66E9" w:rsidRPr="004A76B8" w:rsidRDefault="009E66E9" w:rsidP="00F423B4">
            <w:pPr>
              <w:jc w:val="center"/>
              <w:rPr>
                <w:sz w:val="18"/>
                <w:szCs w:val="18"/>
                <w:lang w:val="is-IS"/>
              </w:rPr>
            </w:pPr>
          </w:p>
        </w:tc>
      </w:tr>
      <w:tr w:rsidR="009E66E9" w14:paraId="33D07F5B" w14:textId="77777777" w:rsidTr="00C45043">
        <w:trPr>
          <w:jc w:val="center"/>
        </w:trPr>
        <w:tc>
          <w:tcPr>
            <w:tcW w:w="1675" w:type="dxa"/>
            <w:shd w:val="clear" w:color="auto" w:fill="D9E2F3" w:themeFill="accent5" w:themeFillTint="33"/>
          </w:tcPr>
          <w:p w14:paraId="33D07F52" w14:textId="77777777" w:rsidR="009E66E9" w:rsidRPr="004A76B8" w:rsidRDefault="009E66E9" w:rsidP="00F423B4">
            <w:pPr>
              <w:rPr>
                <w:sz w:val="18"/>
                <w:szCs w:val="18"/>
                <w:lang w:val="is-IS"/>
              </w:rPr>
            </w:pPr>
            <w:r w:rsidRPr="004A76B8">
              <w:rPr>
                <w:sz w:val="18"/>
                <w:szCs w:val="18"/>
                <w:lang w:val="is-IS"/>
              </w:rPr>
              <w:t>BRL 32</w:t>
            </w:r>
          </w:p>
        </w:tc>
        <w:tc>
          <w:tcPr>
            <w:tcW w:w="790" w:type="dxa"/>
            <w:shd w:val="clear" w:color="auto" w:fill="FFF2CC" w:themeFill="accent4" w:themeFillTint="33"/>
          </w:tcPr>
          <w:p w14:paraId="33D07F53" w14:textId="77777777" w:rsidR="009E66E9" w:rsidRPr="004A76B8" w:rsidRDefault="009E66E9" w:rsidP="00F423B4">
            <w:pPr>
              <w:jc w:val="center"/>
              <w:rPr>
                <w:sz w:val="18"/>
                <w:szCs w:val="18"/>
                <w:lang w:val="is-IS"/>
              </w:rPr>
            </w:pPr>
            <w:r w:rsidRPr="004A76B8">
              <w:rPr>
                <w:sz w:val="18"/>
                <w:szCs w:val="18"/>
                <w:lang w:val="is-IS"/>
              </w:rPr>
              <w:t>-</w:t>
            </w:r>
          </w:p>
        </w:tc>
        <w:tc>
          <w:tcPr>
            <w:tcW w:w="790" w:type="dxa"/>
            <w:shd w:val="clear" w:color="auto" w:fill="FFF2CC" w:themeFill="accent4" w:themeFillTint="33"/>
          </w:tcPr>
          <w:p w14:paraId="33D07F54" w14:textId="77777777" w:rsidR="009E66E9" w:rsidRPr="004A76B8" w:rsidRDefault="009E66E9" w:rsidP="00F423B4">
            <w:pPr>
              <w:jc w:val="center"/>
              <w:rPr>
                <w:sz w:val="18"/>
                <w:szCs w:val="18"/>
                <w:lang w:val="is-IS"/>
              </w:rPr>
            </w:pPr>
            <w:r w:rsidRPr="004A76B8">
              <w:rPr>
                <w:sz w:val="18"/>
                <w:szCs w:val="18"/>
                <w:lang w:val="is-IS"/>
              </w:rPr>
              <w:t>-</w:t>
            </w:r>
          </w:p>
        </w:tc>
        <w:tc>
          <w:tcPr>
            <w:tcW w:w="790" w:type="dxa"/>
            <w:shd w:val="clear" w:color="auto" w:fill="FFF2CC" w:themeFill="accent4" w:themeFillTint="33"/>
          </w:tcPr>
          <w:p w14:paraId="33D07F55"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56"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57"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58"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59"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5A" w14:textId="77777777" w:rsidR="009E66E9" w:rsidRPr="004A76B8" w:rsidRDefault="009E66E9" w:rsidP="00F423B4">
            <w:pPr>
              <w:jc w:val="center"/>
              <w:rPr>
                <w:sz w:val="18"/>
                <w:szCs w:val="18"/>
                <w:lang w:val="is-IS"/>
              </w:rPr>
            </w:pPr>
          </w:p>
        </w:tc>
      </w:tr>
      <w:tr w:rsidR="009E66E9" w14:paraId="33D07F65" w14:textId="77777777" w:rsidTr="00C45043">
        <w:trPr>
          <w:jc w:val="center"/>
        </w:trPr>
        <w:tc>
          <w:tcPr>
            <w:tcW w:w="1675" w:type="dxa"/>
            <w:shd w:val="clear" w:color="auto" w:fill="D9E2F3" w:themeFill="accent5" w:themeFillTint="33"/>
          </w:tcPr>
          <w:p w14:paraId="33D07F5C" w14:textId="77777777" w:rsidR="009E66E9" w:rsidRPr="004A76B8" w:rsidRDefault="009E66E9" w:rsidP="00F423B4">
            <w:pPr>
              <w:rPr>
                <w:sz w:val="18"/>
                <w:szCs w:val="18"/>
                <w:lang w:val="is-IS"/>
              </w:rPr>
            </w:pPr>
            <w:r w:rsidRPr="004A76B8">
              <w:rPr>
                <w:sz w:val="18"/>
                <w:szCs w:val="18"/>
                <w:lang w:val="is-IS"/>
              </w:rPr>
              <w:t>AG (</w:t>
            </w:r>
            <w:r>
              <w:rPr>
                <w:sz w:val="18"/>
                <w:szCs w:val="18"/>
                <w:lang w:val="is-IS"/>
              </w:rPr>
              <w:t>&lt;11,2 mm</w:t>
            </w:r>
            <w:r w:rsidRPr="004A76B8">
              <w:rPr>
                <w:sz w:val="18"/>
                <w:szCs w:val="18"/>
                <w:lang w:val="is-IS"/>
              </w:rPr>
              <w:t>)</w:t>
            </w:r>
            <w:r>
              <w:rPr>
                <w:sz w:val="18"/>
                <w:szCs w:val="18"/>
                <w:lang w:val="is-IS"/>
              </w:rPr>
              <w:t>**</w:t>
            </w:r>
          </w:p>
        </w:tc>
        <w:tc>
          <w:tcPr>
            <w:tcW w:w="790" w:type="dxa"/>
            <w:shd w:val="clear" w:color="auto" w:fill="FFF2CC" w:themeFill="accent4" w:themeFillTint="33"/>
          </w:tcPr>
          <w:p w14:paraId="33D07F5D"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5E"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5F"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60"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61" w14:textId="77777777" w:rsidR="009E66E9" w:rsidRPr="004A76B8" w:rsidRDefault="009E66E9" w:rsidP="00F423B4">
            <w:pPr>
              <w:jc w:val="center"/>
              <w:rPr>
                <w:sz w:val="18"/>
                <w:szCs w:val="18"/>
                <w:lang w:val="is-IS"/>
              </w:rPr>
            </w:pPr>
            <w:r>
              <w:rPr>
                <w:sz w:val="18"/>
                <w:szCs w:val="18"/>
                <w:lang w:val="is-IS"/>
              </w:rPr>
              <w:t>2</w:t>
            </w:r>
          </w:p>
        </w:tc>
        <w:tc>
          <w:tcPr>
            <w:tcW w:w="790" w:type="dxa"/>
            <w:shd w:val="clear" w:color="auto" w:fill="FFF2CC" w:themeFill="accent4" w:themeFillTint="33"/>
          </w:tcPr>
          <w:p w14:paraId="33D07F62" w14:textId="77777777" w:rsidR="009E66E9" w:rsidRPr="004A76B8" w:rsidRDefault="009E66E9" w:rsidP="00F423B4">
            <w:pPr>
              <w:jc w:val="center"/>
              <w:rPr>
                <w:sz w:val="18"/>
                <w:szCs w:val="18"/>
                <w:lang w:val="is-IS"/>
              </w:rPr>
            </w:pPr>
            <w:r>
              <w:rPr>
                <w:sz w:val="18"/>
                <w:szCs w:val="18"/>
                <w:lang w:val="is-IS"/>
              </w:rPr>
              <w:t>14</w:t>
            </w:r>
          </w:p>
        </w:tc>
        <w:tc>
          <w:tcPr>
            <w:tcW w:w="790" w:type="dxa"/>
            <w:shd w:val="clear" w:color="auto" w:fill="FFF2CC" w:themeFill="accent4" w:themeFillTint="33"/>
          </w:tcPr>
          <w:p w14:paraId="33D07F63" w14:textId="77777777" w:rsidR="009E66E9" w:rsidRPr="004A76B8" w:rsidRDefault="009E66E9" w:rsidP="00F423B4">
            <w:pPr>
              <w:jc w:val="center"/>
              <w:rPr>
                <w:sz w:val="18"/>
                <w:szCs w:val="18"/>
                <w:lang w:val="is-IS"/>
              </w:rPr>
            </w:pPr>
            <w:r>
              <w:rPr>
                <w:sz w:val="18"/>
                <w:szCs w:val="18"/>
                <w:lang w:val="is-IS"/>
              </w:rPr>
              <w:t>-</w:t>
            </w:r>
          </w:p>
        </w:tc>
        <w:tc>
          <w:tcPr>
            <w:tcW w:w="790" w:type="dxa"/>
            <w:shd w:val="clear" w:color="auto" w:fill="FFF2CC" w:themeFill="accent4" w:themeFillTint="33"/>
          </w:tcPr>
          <w:p w14:paraId="33D07F64" w14:textId="77777777" w:rsidR="009E66E9" w:rsidRPr="004A76B8" w:rsidRDefault="009E66E9" w:rsidP="00F423B4">
            <w:pPr>
              <w:jc w:val="center"/>
              <w:rPr>
                <w:sz w:val="18"/>
                <w:szCs w:val="18"/>
                <w:lang w:val="is-IS"/>
              </w:rPr>
            </w:pPr>
            <w:r>
              <w:rPr>
                <w:sz w:val="18"/>
                <w:szCs w:val="18"/>
                <w:lang w:val="is-IS"/>
              </w:rPr>
              <w:t>-</w:t>
            </w:r>
          </w:p>
        </w:tc>
      </w:tr>
      <w:tr w:rsidR="009E66E9" w14:paraId="33D07F6F" w14:textId="77777777" w:rsidTr="00C45043">
        <w:trPr>
          <w:jc w:val="center"/>
        </w:trPr>
        <w:tc>
          <w:tcPr>
            <w:tcW w:w="1675" w:type="dxa"/>
            <w:shd w:val="clear" w:color="auto" w:fill="D9E2F3" w:themeFill="accent5" w:themeFillTint="33"/>
          </w:tcPr>
          <w:p w14:paraId="33D07F66" w14:textId="77777777" w:rsidR="009E66E9" w:rsidRPr="004A76B8" w:rsidRDefault="009E66E9" w:rsidP="00F423B4">
            <w:pPr>
              <w:rPr>
                <w:sz w:val="18"/>
                <w:szCs w:val="18"/>
                <w:lang w:val="is-IS"/>
              </w:rPr>
            </w:pPr>
            <w:r w:rsidRPr="004A76B8">
              <w:rPr>
                <w:sz w:val="18"/>
                <w:szCs w:val="18"/>
                <w:lang w:val="is-IS"/>
              </w:rPr>
              <w:t>AG (</w:t>
            </w:r>
            <w:r>
              <w:rPr>
                <w:sz w:val="18"/>
                <w:szCs w:val="18"/>
                <w:lang w:val="is-IS"/>
              </w:rPr>
              <w:t>&gt;11,2 mm</w:t>
            </w:r>
            <w:r w:rsidRPr="004A76B8">
              <w:rPr>
                <w:sz w:val="18"/>
                <w:szCs w:val="18"/>
                <w:lang w:val="is-IS"/>
              </w:rPr>
              <w:t>)</w:t>
            </w:r>
            <w:r>
              <w:rPr>
                <w:sz w:val="18"/>
                <w:szCs w:val="18"/>
                <w:lang w:val="is-IS"/>
              </w:rPr>
              <w:t>**</w:t>
            </w:r>
          </w:p>
        </w:tc>
        <w:tc>
          <w:tcPr>
            <w:tcW w:w="790" w:type="dxa"/>
            <w:shd w:val="clear" w:color="auto" w:fill="FFF2CC" w:themeFill="accent4" w:themeFillTint="33"/>
          </w:tcPr>
          <w:p w14:paraId="33D07F67"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68"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69"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6A" w14:textId="77777777" w:rsidR="009E66E9" w:rsidRPr="004A76B8" w:rsidRDefault="009E66E9" w:rsidP="00F423B4">
            <w:pPr>
              <w:jc w:val="center"/>
              <w:rPr>
                <w:sz w:val="18"/>
                <w:szCs w:val="18"/>
                <w:lang w:val="is-IS"/>
              </w:rPr>
            </w:pPr>
          </w:p>
        </w:tc>
        <w:tc>
          <w:tcPr>
            <w:tcW w:w="790" w:type="dxa"/>
            <w:shd w:val="clear" w:color="auto" w:fill="FFF2CC" w:themeFill="accent4" w:themeFillTint="33"/>
          </w:tcPr>
          <w:p w14:paraId="33D07F6B" w14:textId="77777777" w:rsidR="009E66E9" w:rsidRPr="004A76B8" w:rsidRDefault="009E66E9" w:rsidP="00F423B4">
            <w:pPr>
              <w:jc w:val="center"/>
              <w:rPr>
                <w:sz w:val="18"/>
                <w:szCs w:val="18"/>
                <w:lang w:val="is-IS"/>
              </w:rPr>
            </w:pPr>
            <w:r>
              <w:rPr>
                <w:sz w:val="18"/>
                <w:szCs w:val="18"/>
                <w:lang w:val="is-IS"/>
              </w:rPr>
              <w:t>2</w:t>
            </w:r>
          </w:p>
        </w:tc>
        <w:tc>
          <w:tcPr>
            <w:tcW w:w="790" w:type="dxa"/>
            <w:shd w:val="clear" w:color="auto" w:fill="FFF2CC" w:themeFill="accent4" w:themeFillTint="33"/>
          </w:tcPr>
          <w:p w14:paraId="33D07F6C" w14:textId="77777777" w:rsidR="009E66E9" w:rsidRPr="004A76B8" w:rsidRDefault="009E66E9" w:rsidP="00F423B4">
            <w:pPr>
              <w:jc w:val="center"/>
              <w:rPr>
                <w:sz w:val="18"/>
                <w:szCs w:val="18"/>
                <w:lang w:val="is-IS"/>
              </w:rPr>
            </w:pPr>
            <w:r>
              <w:rPr>
                <w:sz w:val="18"/>
                <w:szCs w:val="18"/>
                <w:lang w:val="is-IS"/>
              </w:rPr>
              <w:t>12</w:t>
            </w:r>
          </w:p>
        </w:tc>
        <w:tc>
          <w:tcPr>
            <w:tcW w:w="790" w:type="dxa"/>
            <w:shd w:val="clear" w:color="auto" w:fill="FFF2CC" w:themeFill="accent4" w:themeFillTint="33"/>
          </w:tcPr>
          <w:p w14:paraId="33D07F6D" w14:textId="77777777" w:rsidR="009E66E9" w:rsidRPr="004A76B8" w:rsidRDefault="009E66E9" w:rsidP="00F423B4">
            <w:pPr>
              <w:jc w:val="center"/>
              <w:rPr>
                <w:sz w:val="18"/>
                <w:szCs w:val="18"/>
                <w:lang w:val="is-IS"/>
              </w:rPr>
            </w:pPr>
            <w:r>
              <w:rPr>
                <w:sz w:val="18"/>
                <w:szCs w:val="18"/>
                <w:lang w:val="is-IS"/>
              </w:rPr>
              <w:t>2</w:t>
            </w:r>
          </w:p>
        </w:tc>
        <w:tc>
          <w:tcPr>
            <w:tcW w:w="790" w:type="dxa"/>
            <w:shd w:val="clear" w:color="auto" w:fill="FFF2CC" w:themeFill="accent4" w:themeFillTint="33"/>
          </w:tcPr>
          <w:p w14:paraId="33D07F6E" w14:textId="77777777" w:rsidR="009E66E9" w:rsidRPr="004A76B8" w:rsidRDefault="009E66E9" w:rsidP="00F423B4">
            <w:pPr>
              <w:jc w:val="center"/>
              <w:rPr>
                <w:sz w:val="18"/>
                <w:szCs w:val="18"/>
                <w:lang w:val="is-IS"/>
              </w:rPr>
            </w:pPr>
            <w:r>
              <w:rPr>
                <w:sz w:val="18"/>
                <w:szCs w:val="18"/>
                <w:lang w:val="is-IS"/>
              </w:rPr>
              <w:t>8</w:t>
            </w:r>
          </w:p>
        </w:tc>
      </w:tr>
    </w:tbl>
    <w:p w14:paraId="33D07F70" w14:textId="48D4A7E7" w:rsidR="009E66E9" w:rsidRDefault="009E66E9" w:rsidP="009E66E9">
      <w:pPr>
        <w:ind w:left="171"/>
        <w:rPr>
          <w:sz w:val="20"/>
          <w:lang w:val="is-IS"/>
        </w:rPr>
      </w:pPr>
      <w:r w:rsidRPr="00F40D93">
        <w:rPr>
          <w:sz w:val="20"/>
          <w:lang w:val="is-IS"/>
        </w:rPr>
        <w:t>*</w:t>
      </w:r>
      <w:r>
        <w:rPr>
          <w:sz w:val="20"/>
          <w:lang w:val="is-IS"/>
        </w:rPr>
        <w:t>Miðast við sýni úr tilraunakafla í byrjun verks.</w:t>
      </w:r>
      <w:r w:rsidRPr="00F40D93">
        <w:rPr>
          <w:sz w:val="20"/>
          <w:lang w:val="is-IS"/>
        </w:rPr>
        <w:t xml:space="preserve"> Taflan sýnir gildi á einstökum sýnum, en meðaltal 5 sýna skal vera á bilinu 3-7%.</w:t>
      </w:r>
    </w:p>
    <w:p w14:paraId="33D07F71" w14:textId="77777777" w:rsidR="009E66E9" w:rsidRDefault="009E66E9" w:rsidP="009E66E9">
      <w:pPr>
        <w:ind w:left="171"/>
        <w:rPr>
          <w:sz w:val="20"/>
          <w:lang w:val="is-IS"/>
        </w:rPr>
      </w:pPr>
      <w:r>
        <w:rPr>
          <w:sz w:val="20"/>
          <w:lang w:val="is-IS"/>
        </w:rPr>
        <w:t>** Marshallþjöppun skal vera 2 x 75 högg.</w:t>
      </w:r>
    </w:p>
    <w:p w14:paraId="33D07F72" w14:textId="77777777" w:rsidR="009E66E9" w:rsidRDefault="009E66E9" w:rsidP="009E66E9">
      <w:pPr>
        <w:rPr>
          <w:sz w:val="20"/>
          <w:lang w:val="is-IS"/>
        </w:rPr>
      </w:pPr>
    </w:p>
    <w:p w14:paraId="33D07F73" w14:textId="77777777" w:rsidR="00611FD5" w:rsidRPr="000C3E1D" w:rsidRDefault="00611FD5" w:rsidP="00611FD5">
      <w:pPr>
        <w:ind w:firstLine="340"/>
        <w:jc w:val="both"/>
        <w:rPr>
          <w:b/>
          <w:color w:val="FF0000"/>
          <w:lang w:val="is-IS"/>
        </w:rPr>
      </w:pPr>
      <w:r w:rsidRPr="000C3E1D">
        <w:rPr>
          <w:b/>
          <w:color w:val="FF0000"/>
          <w:lang w:val="is-IS"/>
        </w:rPr>
        <w:t>ATHUGASEMD RITSTJÓRNAR Í JANÚAR 2020</w:t>
      </w:r>
    </w:p>
    <w:p w14:paraId="33D07F75" w14:textId="44EAA00D" w:rsidR="009E66E9" w:rsidRPr="00D14E7C" w:rsidRDefault="00A76ABC" w:rsidP="00D14E7C">
      <w:pPr>
        <w:ind w:firstLine="340"/>
        <w:jc w:val="both"/>
        <w:rPr>
          <w:color w:val="FF0000"/>
          <w:lang w:val="is-IS"/>
        </w:rPr>
      </w:pPr>
      <w:r w:rsidRPr="000C3E1D">
        <w:rPr>
          <w:color w:val="FF0000"/>
          <w:lang w:val="is-IS"/>
        </w:rPr>
        <w:t>Þessi kafli er látinn halda sér að mestu leyti, nema þar sem vitnað er í Alverk ´95, sem er orðið útelt. Leiðbeinandi hönnunargildi fyrir holrýmd burðarlagsmalbiks í töflu 64-15 í Efnisgæðaritinu eru 2,0 til 6,0% eins og lagt er til hér að framan fyrir BRL</w:t>
      </w:r>
      <w:r w:rsidR="000561DB" w:rsidRPr="000C3E1D">
        <w:rPr>
          <w:color w:val="FF0000"/>
          <w:lang w:val="is-IS"/>
        </w:rPr>
        <w:t xml:space="preserve"> </w:t>
      </w:r>
      <w:r w:rsidRPr="000C3E1D">
        <w:rPr>
          <w:color w:val="FF0000"/>
          <w:lang w:val="is-IS"/>
        </w:rPr>
        <w:t>16 og BRL</w:t>
      </w:r>
      <w:r w:rsidR="000561DB" w:rsidRPr="000C3E1D">
        <w:rPr>
          <w:color w:val="FF0000"/>
          <w:lang w:val="is-IS"/>
        </w:rPr>
        <w:t xml:space="preserve"> </w:t>
      </w:r>
      <w:r w:rsidRPr="000C3E1D">
        <w:rPr>
          <w:color w:val="FF0000"/>
          <w:lang w:val="is-IS"/>
        </w:rPr>
        <w:t>22</w:t>
      </w:r>
      <w:r w:rsidR="000561DB" w:rsidRPr="000C3E1D">
        <w:rPr>
          <w:color w:val="FF0000"/>
          <w:lang w:val="is-IS"/>
        </w:rPr>
        <w:t xml:space="preserve"> (þó ekki í töflu 1)</w:t>
      </w:r>
      <w:r w:rsidRPr="000C3E1D">
        <w:rPr>
          <w:color w:val="FF0000"/>
          <w:lang w:val="is-IS"/>
        </w:rPr>
        <w:t>.</w:t>
      </w:r>
    </w:p>
    <w:p w14:paraId="33D07F76" w14:textId="77777777" w:rsidR="009E66E9" w:rsidRDefault="009E66E9" w:rsidP="009E66E9">
      <w:pPr>
        <w:rPr>
          <w:sz w:val="20"/>
          <w:lang w:val="is-IS"/>
        </w:rPr>
      </w:pPr>
    </w:p>
    <w:p w14:paraId="33D07F77" w14:textId="77777777" w:rsidR="009E66E9" w:rsidRPr="00E57041" w:rsidRDefault="009E66E9" w:rsidP="00E57041">
      <w:pPr>
        <w:spacing w:after="60"/>
        <w:rPr>
          <w:b/>
          <w:sz w:val="24"/>
          <w:szCs w:val="24"/>
          <w:lang w:val="is-IS"/>
        </w:rPr>
      </w:pPr>
      <w:r w:rsidRPr="00E57041">
        <w:rPr>
          <w:b/>
          <w:sz w:val="24"/>
          <w:szCs w:val="24"/>
          <w:lang w:val="is-IS"/>
        </w:rPr>
        <w:t>HEIMILDIR</w:t>
      </w:r>
    </w:p>
    <w:p w14:paraId="33D07F78" w14:textId="18E5ABE2" w:rsidR="009E66E9" w:rsidRDefault="009E66E9" w:rsidP="009E66E9">
      <w:pPr>
        <w:ind w:left="342" w:hanging="342"/>
        <w:jc w:val="both"/>
        <w:rPr>
          <w:lang w:val="is-IS"/>
        </w:rPr>
      </w:pPr>
      <w:r>
        <w:rPr>
          <w:lang w:val="is-IS"/>
        </w:rPr>
        <w:t xml:space="preserve">Alverk ’95. 1995. </w:t>
      </w:r>
      <w:r w:rsidRPr="00AE293A">
        <w:rPr>
          <w:i/>
          <w:lang w:val="is-IS"/>
        </w:rPr>
        <w:t>Almenn verklýsing fyrir vega- og brúargerð.</w:t>
      </w:r>
      <w:r>
        <w:rPr>
          <w:lang w:val="is-IS"/>
        </w:rPr>
        <w:t xml:space="preserve"> Vegagerðin. Reykjavík.</w:t>
      </w:r>
    </w:p>
    <w:p w14:paraId="33D07F79" w14:textId="77777777" w:rsidR="009E66E9" w:rsidRPr="009C1A2E" w:rsidRDefault="009E66E9" w:rsidP="009E66E9">
      <w:pPr>
        <w:ind w:left="340" w:hanging="340"/>
        <w:jc w:val="both"/>
        <w:rPr>
          <w:lang w:val="is-IS"/>
        </w:rPr>
      </w:pPr>
      <w:r>
        <w:rPr>
          <w:lang w:val="is-IS"/>
        </w:rPr>
        <w:t xml:space="preserve">Ásbjörn Jóhannesson, Sigursteinn Hjartarson og Valur Guðmundsson. 2000. </w:t>
      </w:r>
      <w:r w:rsidRPr="00782C94">
        <w:rPr>
          <w:i/>
          <w:lang w:val="is-IS"/>
        </w:rPr>
        <w:t>Endurskoðun á markalínum fyrir malbik – lokaskýrsla.</w:t>
      </w:r>
      <w:r>
        <w:rPr>
          <w:lang w:val="is-IS"/>
        </w:rPr>
        <w:t xml:space="preserve"> BUSL – Slitlaganefnd. Skýrsla S-16.    </w:t>
      </w:r>
    </w:p>
    <w:p w14:paraId="33D07F7A" w14:textId="77777777" w:rsidR="009E66E9" w:rsidRDefault="009E66E9" w:rsidP="009E66E9">
      <w:pPr>
        <w:ind w:left="342" w:hanging="342"/>
        <w:jc w:val="both"/>
        <w:rPr>
          <w:szCs w:val="22"/>
          <w:lang w:val="is-IS"/>
        </w:rPr>
      </w:pPr>
      <w:r w:rsidRPr="00476B14">
        <w:rPr>
          <w:szCs w:val="22"/>
          <w:lang w:val="is-IS"/>
        </w:rPr>
        <w:t xml:space="preserve">NVF 33. 1985. </w:t>
      </w:r>
      <w:r w:rsidR="001F0FB6">
        <w:rPr>
          <w:i/>
          <w:szCs w:val="22"/>
          <w:lang w:val="is-IS"/>
        </w:rPr>
        <w:t>Materialegenskaper</w:t>
      </w:r>
      <w:r w:rsidRPr="00476B14">
        <w:rPr>
          <w:i/>
          <w:szCs w:val="22"/>
          <w:lang w:val="is-IS"/>
        </w:rPr>
        <w:t xml:space="preserve"> og funktionskrav for varmblandede dekker og bærelag</w:t>
      </w:r>
      <w:r>
        <w:rPr>
          <w:szCs w:val="22"/>
          <w:lang w:val="is-IS"/>
        </w:rPr>
        <w:t>. Nordisk vegteknisk forbund. Utvalg 33 – Asfaltbelegninger. Rapport nr. 5, 1985.</w:t>
      </w:r>
    </w:p>
    <w:p w14:paraId="33D07F7B" w14:textId="77777777" w:rsidR="009E66E9" w:rsidRPr="009D2FE7" w:rsidRDefault="009E66E9" w:rsidP="009E66E9">
      <w:pPr>
        <w:ind w:left="342" w:hanging="342"/>
        <w:jc w:val="both"/>
        <w:rPr>
          <w:szCs w:val="22"/>
          <w:lang w:val="is-IS"/>
        </w:rPr>
      </w:pPr>
      <w:r w:rsidRPr="009D2FE7">
        <w:rPr>
          <w:szCs w:val="22"/>
          <w:lang w:val="is-IS"/>
        </w:rPr>
        <w:t xml:space="preserve">Statens vegvesen. 2005. </w:t>
      </w:r>
      <w:r w:rsidRPr="009D2FE7">
        <w:rPr>
          <w:i/>
          <w:szCs w:val="22"/>
          <w:lang w:val="is-IS"/>
        </w:rPr>
        <w:t>Håndbok 018 Vegbygging.</w:t>
      </w:r>
      <w:r w:rsidRPr="009D2FE7">
        <w:rPr>
          <w:szCs w:val="22"/>
          <w:lang w:val="is-IS"/>
        </w:rPr>
        <w:t xml:space="preserve"> Statens vegvesen. Oslo.</w:t>
      </w:r>
    </w:p>
    <w:p w14:paraId="33D07F7C" w14:textId="77777777" w:rsidR="009E66E9" w:rsidRPr="009D2FE7" w:rsidRDefault="009E66E9" w:rsidP="009E66E9">
      <w:pPr>
        <w:ind w:left="342" w:hanging="342"/>
        <w:jc w:val="both"/>
        <w:rPr>
          <w:szCs w:val="22"/>
          <w:lang w:val="is-IS"/>
        </w:rPr>
      </w:pPr>
      <w:r w:rsidRPr="009D2FE7">
        <w:rPr>
          <w:szCs w:val="22"/>
          <w:lang w:val="is-IS"/>
        </w:rPr>
        <w:t xml:space="preserve">Vägverket. 2005. </w:t>
      </w:r>
      <w:r w:rsidRPr="009D2FE7">
        <w:rPr>
          <w:i/>
          <w:szCs w:val="22"/>
          <w:lang w:val="is-IS"/>
        </w:rPr>
        <w:t>ATB VÄG 2005. Kapitel I Typblad, kontrollblad, bindemedel och konstruktionstyper för bitumenbundna lager.</w:t>
      </w:r>
      <w:r w:rsidRPr="009D2FE7">
        <w:rPr>
          <w:szCs w:val="22"/>
          <w:lang w:val="is-IS"/>
        </w:rPr>
        <w:t xml:space="preserve"> VV Publ 2005:112. Borlänge.</w:t>
      </w:r>
    </w:p>
    <w:p w14:paraId="33D07F7D" w14:textId="77777777" w:rsidR="009E66E9" w:rsidRDefault="009E66E9" w:rsidP="009E66E9">
      <w:pPr>
        <w:rPr>
          <w:szCs w:val="22"/>
          <w:lang w:val="is-IS"/>
        </w:rPr>
      </w:pPr>
    </w:p>
    <w:p w14:paraId="33D07F87" w14:textId="77777777" w:rsidR="0029301E" w:rsidRPr="001C45E6" w:rsidRDefault="0029301E" w:rsidP="00D15FAD">
      <w:pPr>
        <w:pStyle w:val="Heading1"/>
        <w:rPr>
          <w:lang w:val="is-IS"/>
        </w:rPr>
      </w:pPr>
      <w:bookmarkStart w:id="26" w:name="_Toc52974031"/>
      <w:r w:rsidRPr="001C45E6">
        <w:rPr>
          <w:lang w:val="is-IS"/>
        </w:rPr>
        <w:t>FRÓÐLEIKUR UM HOLRÝMD OG ÞJÖPPUNARHLUTFALL</w:t>
      </w:r>
      <w:bookmarkEnd w:id="26"/>
    </w:p>
    <w:p w14:paraId="33D07F88" w14:textId="77777777" w:rsidR="0029301E" w:rsidRDefault="0029301E" w:rsidP="0029301E">
      <w:pPr>
        <w:jc w:val="both"/>
        <w:rPr>
          <w:sz w:val="24"/>
          <w:szCs w:val="24"/>
          <w:lang w:val="is-IS"/>
        </w:rPr>
      </w:pPr>
    </w:p>
    <w:p w14:paraId="33D07F89" w14:textId="77777777" w:rsidR="0029301E" w:rsidRPr="00893EB8" w:rsidRDefault="0029301E" w:rsidP="0029301E">
      <w:pPr>
        <w:spacing w:after="60"/>
        <w:jc w:val="both"/>
        <w:rPr>
          <w:szCs w:val="22"/>
          <w:lang w:val="is-IS"/>
        </w:rPr>
      </w:pPr>
      <w:r w:rsidRPr="00893EB8">
        <w:rPr>
          <w:szCs w:val="22"/>
          <w:lang w:val="is-IS"/>
        </w:rPr>
        <w:t xml:space="preserve">Algengustu aðferðir til að tilgreina þjöppun eru </w:t>
      </w:r>
      <w:r>
        <w:rPr>
          <w:szCs w:val="22"/>
          <w:lang w:val="is-IS"/>
        </w:rPr>
        <w:t>[</w:t>
      </w:r>
      <w:r w:rsidRPr="00893EB8">
        <w:rPr>
          <w:szCs w:val="22"/>
          <w:lang w:val="is-IS"/>
        </w:rPr>
        <w:t>Hunter, bls. 210</w:t>
      </w:r>
      <w:r w:rsidR="009D060A">
        <w:rPr>
          <w:szCs w:val="22"/>
          <w:lang w:val="is-IS"/>
        </w:rPr>
        <w:t xml:space="preserve">, </w:t>
      </w:r>
      <w:r>
        <w:rPr>
          <w:szCs w:val="22"/>
          <w:lang w:val="is-IS"/>
        </w:rPr>
        <w:t xml:space="preserve">í </w:t>
      </w:r>
      <w:r w:rsidRPr="00893EB8">
        <w:rPr>
          <w:szCs w:val="22"/>
          <w:lang w:val="is-IS"/>
        </w:rPr>
        <w:t>lausleg</w:t>
      </w:r>
      <w:r>
        <w:rPr>
          <w:szCs w:val="22"/>
          <w:lang w:val="is-IS"/>
        </w:rPr>
        <w:t>ri</w:t>
      </w:r>
      <w:r w:rsidRPr="00893EB8">
        <w:rPr>
          <w:szCs w:val="22"/>
          <w:lang w:val="is-IS"/>
        </w:rPr>
        <w:t xml:space="preserve"> endurs</w:t>
      </w:r>
      <w:r>
        <w:rPr>
          <w:szCs w:val="22"/>
          <w:lang w:val="is-IS"/>
        </w:rPr>
        <w:t>ögn</w:t>
      </w:r>
      <w:r w:rsidR="009D060A">
        <w:rPr>
          <w:szCs w:val="22"/>
          <w:lang w:val="is-IS"/>
        </w:rPr>
        <w:t>]</w:t>
      </w:r>
      <w:r w:rsidRPr="00893EB8">
        <w:rPr>
          <w:szCs w:val="22"/>
          <w:lang w:val="is-IS"/>
        </w:rPr>
        <w:t>:</w:t>
      </w:r>
    </w:p>
    <w:p w14:paraId="33D07F8A" w14:textId="3DFFBA05" w:rsidR="0029301E" w:rsidRPr="00893EB8" w:rsidRDefault="0029301E" w:rsidP="00794701">
      <w:pPr>
        <w:numPr>
          <w:ilvl w:val="0"/>
          <w:numId w:val="6"/>
        </w:numPr>
        <w:tabs>
          <w:tab w:val="clear" w:pos="1080"/>
          <w:tab w:val="num" w:pos="684"/>
        </w:tabs>
        <w:ind w:left="684" w:hanging="342"/>
        <w:jc w:val="both"/>
        <w:rPr>
          <w:szCs w:val="22"/>
          <w:lang w:val="is-IS"/>
        </w:rPr>
      </w:pPr>
      <w:r w:rsidRPr="00893EB8">
        <w:rPr>
          <w:szCs w:val="22"/>
          <w:lang w:val="is-IS"/>
        </w:rPr>
        <w:t>Samanburður á rúmþyngd bor</w:t>
      </w:r>
      <w:r w:rsidR="001F0FB6">
        <w:rPr>
          <w:szCs w:val="22"/>
          <w:lang w:val="is-IS"/>
        </w:rPr>
        <w:t xml:space="preserve">kjarna, teknum úr slitlagi og </w:t>
      </w:r>
      <w:r w:rsidRPr="00893EB8">
        <w:rPr>
          <w:szCs w:val="22"/>
          <w:lang w:val="is-IS"/>
        </w:rPr>
        <w:t>rúmþyngd sýna sem eru þjöppuð samkvæmt staðli, svo sem Marshallkjarna, þ.e. rúmþyngd í slitlagi í % af rúmþyngd Marshallkjarna (þjöppunarhlutfall</w:t>
      </w:r>
      <w:r w:rsidRPr="00893EB8">
        <w:rPr>
          <w:rStyle w:val="FootnoteReference"/>
          <w:szCs w:val="22"/>
          <w:lang w:val="is-IS"/>
        </w:rPr>
        <w:footnoteReference w:id="5"/>
      </w:r>
      <w:r w:rsidRPr="00893EB8">
        <w:rPr>
          <w:szCs w:val="22"/>
          <w:lang w:val="is-IS"/>
        </w:rPr>
        <w:t>).</w:t>
      </w:r>
    </w:p>
    <w:p w14:paraId="33D07F8B" w14:textId="77777777" w:rsidR="0029301E" w:rsidRPr="00893EB8" w:rsidRDefault="0029301E" w:rsidP="00794701">
      <w:pPr>
        <w:numPr>
          <w:ilvl w:val="0"/>
          <w:numId w:val="6"/>
        </w:numPr>
        <w:tabs>
          <w:tab w:val="clear" w:pos="1080"/>
          <w:tab w:val="num" w:pos="684"/>
        </w:tabs>
        <w:ind w:left="684" w:hanging="342"/>
        <w:jc w:val="both"/>
        <w:rPr>
          <w:szCs w:val="22"/>
          <w:lang w:val="is-IS"/>
        </w:rPr>
      </w:pPr>
      <w:r w:rsidRPr="00893EB8">
        <w:rPr>
          <w:szCs w:val="22"/>
          <w:lang w:val="is-IS"/>
        </w:rPr>
        <w:t>Samanburður á rúmþyngd borkjarna, teknum úr slitlagi, og eðlisþyngd</w:t>
      </w:r>
      <w:r w:rsidRPr="00893EB8">
        <w:rPr>
          <w:rStyle w:val="FootnoteReference"/>
          <w:szCs w:val="22"/>
          <w:lang w:val="is-IS"/>
        </w:rPr>
        <w:footnoteReference w:id="6"/>
      </w:r>
      <w:r w:rsidRPr="00893EB8">
        <w:rPr>
          <w:szCs w:val="22"/>
          <w:lang w:val="is-IS"/>
        </w:rPr>
        <w:t xml:space="preserve"> sama malbiks (þetta er hefðbundna aðferðin hérlendis, tilgreinir rúmmáls</w:t>
      </w:r>
      <w:r w:rsidRPr="00893EB8">
        <w:rPr>
          <w:szCs w:val="22"/>
          <w:lang w:val="is-IS"/>
        </w:rPr>
        <w:softHyphen/>
        <w:t>hluta lofts í borkjarnanum í</w:t>
      </w:r>
      <w:r>
        <w:rPr>
          <w:szCs w:val="22"/>
          <w:lang w:val="is-IS"/>
        </w:rPr>
        <w:t xml:space="preserve"> </w:t>
      </w:r>
      <w:r w:rsidRPr="00893EB8">
        <w:rPr>
          <w:szCs w:val="22"/>
          <w:lang w:val="is-IS"/>
        </w:rPr>
        <w:t>%).</w:t>
      </w:r>
    </w:p>
    <w:p w14:paraId="33D07F8C" w14:textId="77777777" w:rsidR="0029301E" w:rsidRPr="00893EB8" w:rsidRDefault="0029301E" w:rsidP="00794701">
      <w:pPr>
        <w:numPr>
          <w:ilvl w:val="0"/>
          <w:numId w:val="6"/>
        </w:numPr>
        <w:tabs>
          <w:tab w:val="clear" w:pos="1080"/>
          <w:tab w:val="num" w:pos="684"/>
        </w:tabs>
        <w:spacing w:after="60"/>
        <w:ind w:left="684" w:hanging="342"/>
        <w:jc w:val="both"/>
        <w:rPr>
          <w:szCs w:val="22"/>
          <w:lang w:val="is-IS"/>
        </w:rPr>
      </w:pPr>
      <w:r w:rsidRPr="00893EB8">
        <w:rPr>
          <w:szCs w:val="22"/>
          <w:lang w:val="is-IS"/>
        </w:rPr>
        <w:t>Samanburður á rúmþyngd borkjarna, teknum úr slitlagi, og höfnunar</w:t>
      </w:r>
      <w:r w:rsidRPr="00893EB8">
        <w:rPr>
          <w:szCs w:val="22"/>
          <w:lang w:val="is-IS"/>
        </w:rPr>
        <w:softHyphen/>
        <w:t>rúmþyngd</w:t>
      </w:r>
      <w:r w:rsidRPr="00893EB8">
        <w:rPr>
          <w:rStyle w:val="FootnoteReference"/>
          <w:szCs w:val="22"/>
          <w:lang w:val="is-IS"/>
        </w:rPr>
        <w:footnoteReference w:id="7"/>
      </w:r>
      <w:r w:rsidRPr="00893EB8">
        <w:rPr>
          <w:szCs w:val="22"/>
          <w:lang w:val="is-IS"/>
        </w:rPr>
        <w:t xml:space="preserve"> sem er ákveðin á rannsóknastofu. </w:t>
      </w:r>
    </w:p>
    <w:p w14:paraId="33D07F8D" w14:textId="77777777" w:rsidR="0029301E" w:rsidRPr="00893EB8" w:rsidRDefault="0029301E" w:rsidP="001044F8">
      <w:pPr>
        <w:spacing w:after="60"/>
        <w:jc w:val="both"/>
        <w:rPr>
          <w:szCs w:val="22"/>
          <w:lang w:val="is-IS"/>
        </w:rPr>
      </w:pPr>
      <w:r w:rsidRPr="00893EB8">
        <w:rPr>
          <w:szCs w:val="22"/>
          <w:lang w:val="is-IS"/>
        </w:rPr>
        <w:t xml:space="preserve">Önnur heimild </w:t>
      </w:r>
      <w:r>
        <w:rPr>
          <w:szCs w:val="22"/>
          <w:lang w:val="is-IS"/>
        </w:rPr>
        <w:t>[</w:t>
      </w:r>
      <w:r w:rsidRPr="00893EB8">
        <w:rPr>
          <w:szCs w:val="22"/>
          <w:lang w:val="is-IS"/>
        </w:rPr>
        <w:t>Brown, næsta blaðsíða framan við bls. 1</w:t>
      </w:r>
      <w:r>
        <w:rPr>
          <w:szCs w:val="22"/>
          <w:lang w:val="is-IS"/>
        </w:rPr>
        <w:t>]</w:t>
      </w:r>
      <w:r w:rsidRPr="00893EB8">
        <w:rPr>
          <w:szCs w:val="22"/>
          <w:lang w:val="is-IS"/>
        </w:rPr>
        <w:t xml:space="preserve"> nefnir eina aðferð til viðbótar:</w:t>
      </w:r>
    </w:p>
    <w:p w14:paraId="33D07F8E" w14:textId="77777777" w:rsidR="0029301E" w:rsidRPr="00893EB8" w:rsidRDefault="0029301E" w:rsidP="00794701">
      <w:pPr>
        <w:numPr>
          <w:ilvl w:val="0"/>
          <w:numId w:val="6"/>
        </w:numPr>
        <w:tabs>
          <w:tab w:val="clear" w:pos="1080"/>
          <w:tab w:val="num" w:pos="684"/>
        </w:tabs>
        <w:spacing w:after="60"/>
        <w:ind w:left="684" w:hanging="327"/>
        <w:jc w:val="both"/>
        <w:rPr>
          <w:szCs w:val="22"/>
          <w:lang w:val="is-IS"/>
        </w:rPr>
      </w:pPr>
      <w:r w:rsidRPr="00893EB8">
        <w:rPr>
          <w:szCs w:val="22"/>
          <w:lang w:val="is-IS"/>
        </w:rPr>
        <w:t>Hlutfall af þjöppun í tilraunakafla</w:t>
      </w:r>
      <w:r w:rsidRPr="00893EB8">
        <w:rPr>
          <w:rStyle w:val="FootnoteReference"/>
          <w:szCs w:val="22"/>
          <w:lang w:val="is-IS"/>
        </w:rPr>
        <w:footnoteReference w:id="8"/>
      </w:r>
      <w:r w:rsidRPr="00893EB8">
        <w:rPr>
          <w:szCs w:val="22"/>
          <w:lang w:val="is-IS"/>
        </w:rPr>
        <w:t xml:space="preserve">. </w:t>
      </w:r>
    </w:p>
    <w:p w14:paraId="33D07F8F" w14:textId="3A5E1A29" w:rsidR="0029301E" w:rsidRPr="000A0F49" w:rsidRDefault="0029301E" w:rsidP="001044F8">
      <w:pPr>
        <w:jc w:val="both"/>
        <w:rPr>
          <w:szCs w:val="22"/>
          <w:lang w:val="is-IS"/>
        </w:rPr>
      </w:pPr>
      <w:r w:rsidRPr="000A0F49">
        <w:rPr>
          <w:szCs w:val="22"/>
          <w:lang w:val="is-IS"/>
        </w:rPr>
        <w:lastRenderedPageBreak/>
        <w:t>Þjöppun skiptir ótvírætt miklu máli fyrir endingu malbiks og því til stuðnings má draga fram fjöldann allan af rannsóknaniðurstöðum. Hunter (bls. 219) segir til dæmis að þjöppunin þurfi sérstakrar aðgæslu við, annars sé hætta á verulega skertri endingu. Brown (bls.</w:t>
      </w:r>
      <w:r w:rsidR="009D060A">
        <w:rPr>
          <w:szCs w:val="22"/>
          <w:lang w:val="is-IS"/>
        </w:rPr>
        <w:t xml:space="preserve"> </w:t>
      </w:r>
      <w:r w:rsidRPr="000A0F49">
        <w:rPr>
          <w:szCs w:val="22"/>
          <w:lang w:val="is-IS"/>
        </w:rPr>
        <w:t>1) telur holrýmd í malbiki að öllum líkindum vera mikilvægasta einstaka eiginleika malbiks með tilliti til skila</w:t>
      </w:r>
      <w:r w:rsidRPr="000A0F49">
        <w:rPr>
          <w:rStyle w:val="FootnoteReference"/>
          <w:szCs w:val="22"/>
          <w:lang w:val="is-IS"/>
        </w:rPr>
        <w:footnoteReference w:id="9"/>
      </w:r>
      <w:r w:rsidRPr="000A0F49">
        <w:rPr>
          <w:szCs w:val="22"/>
          <w:lang w:val="is-IS"/>
        </w:rPr>
        <w:t>. Hann vitnar í ýmsar heimildir og kemst að þeirri niðurstöðu að holrýmd eigi að vera á bilinu 3-8% (þriggja prósenta krafan er miðuð við holrýmd eftir að viðbótarþjöppun frá umferð er um garð gengin). Ekki undir 3% því þá sé hætta á skriði</w:t>
      </w:r>
      <w:r w:rsidRPr="000A0F49">
        <w:rPr>
          <w:rStyle w:val="FootnoteReference"/>
          <w:szCs w:val="22"/>
          <w:lang w:val="is-IS"/>
        </w:rPr>
        <w:footnoteReference w:id="10"/>
      </w:r>
      <w:r w:rsidRPr="000A0F49">
        <w:rPr>
          <w:szCs w:val="22"/>
          <w:lang w:val="is-IS"/>
        </w:rPr>
        <w:t xml:space="preserve"> og ekki yfir 8% því þá verði slitlagið lekt, vatn og loft (súrefni andrúmsloftsins gerir bindiefnið stökkt) geti þá valdið skemmdum á slitlaginu. Frostman (bls. 44) vitnar í þýska rannsókn sem ályktar að malbik sé þétt ef holrýmdin er undir 3%, svo til þétt (praktiskt taget tät) ef holrýmdin er 3-5%, óverulega lekt (ringa genomsläpplig) ef holrýmdin er 5-8% en lekt ef holrýmdin er meiri.</w:t>
      </w:r>
    </w:p>
    <w:p w14:paraId="33D07F90" w14:textId="575CA6CB" w:rsidR="0029301E" w:rsidRPr="000A0F49" w:rsidRDefault="0029301E" w:rsidP="0029301E">
      <w:pPr>
        <w:ind w:firstLine="342"/>
        <w:jc w:val="both"/>
        <w:rPr>
          <w:szCs w:val="22"/>
          <w:lang w:val="is-IS"/>
        </w:rPr>
      </w:pPr>
      <w:r w:rsidRPr="000A0F49">
        <w:rPr>
          <w:szCs w:val="22"/>
          <w:lang w:val="is-IS"/>
        </w:rPr>
        <w:t xml:space="preserve">Hultqvist (bls. 5) kemst svo að orði: „I en tungt trafikerad asfaltbeläggning anses risken för plastisk deformation öka om hålrumshalten är &lt; 2%...”. Í þessu sambandi má taka fram að Svíar hafa lækkað Marshallholrýmd í algengum slitlögum. Í sænskum verklýsingum, ATB VÄG 2005 [Vägverket 2005, bls. 14 og 18] er leyfð holrýmd 1,5-3,5% í hefðbundnu 11 og 16 mm </w:t>
      </w:r>
      <w:r w:rsidR="00841EBD">
        <w:rPr>
          <w:szCs w:val="22"/>
          <w:lang w:val="is-IS"/>
        </w:rPr>
        <w:t>stíf</w:t>
      </w:r>
      <w:r w:rsidR="00841EBD" w:rsidRPr="000A0F49">
        <w:rPr>
          <w:szCs w:val="22"/>
          <w:lang w:val="is-IS"/>
        </w:rPr>
        <w:t xml:space="preserve">malbiki </w:t>
      </w:r>
      <w:r w:rsidR="00841EBD">
        <w:rPr>
          <w:szCs w:val="22"/>
          <w:lang w:val="is-IS"/>
        </w:rPr>
        <w:t xml:space="preserve">(AC) </w:t>
      </w:r>
      <w:r w:rsidRPr="000A0F49">
        <w:rPr>
          <w:szCs w:val="22"/>
          <w:lang w:val="is-IS"/>
        </w:rPr>
        <w:t xml:space="preserve">og 2,0-3,5% í 11 og 16 mm </w:t>
      </w:r>
      <w:r w:rsidR="00841EBD">
        <w:rPr>
          <w:szCs w:val="22"/>
          <w:lang w:val="is-IS"/>
        </w:rPr>
        <w:t>steinríku malbiki (</w:t>
      </w:r>
      <w:r w:rsidRPr="000A0F49">
        <w:rPr>
          <w:szCs w:val="22"/>
          <w:lang w:val="is-IS"/>
        </w:rPr>
        <w:t>SMA</w:t>
      </w:r>
      <w:r w:rsidR="00841EBD">
        <w:rPr>
          <w:szCs w:val="22"/>
          <w:lang w:val="is-IS"/>
        </w:rPr>
        <w:t>)</w:t>
      </w:r>
      <w:r w:rsidRPr="000A0F49">
        <w:rPr>
          <w:szCs w:val="22"/>
          <w:lang w:val="is-IS"/>
        </w:rPr>
        <w:t>, en í eldri verklýsingum, VÄG 94 [Vägverket 1994, bls. 43-51], sem tók gildi 1994, eru holrýmdarkröfur fyrir sömu malbiks</w:t>
      </w:r>
      <w:r w:rsidRPr="000A0F49">
        <w:rPr>
          <w:szCs w:val="22"/>
          <w:lang w:val="is-IS"/>
        </w:rPr>
        <w:softHyphen/>
        <w:t>gerðir 2,4-4</w:t>
      </w:r>
      <w:r w:rsidR="001F0FB6">
        <w:rPr>
          <w:szCs w:val="22"/>
          <w:lang w:val="is-IS"/>
        </w:rPr>
        <w:t>,4% (</w:t>
      </w:r>
      <w:r w:rsidR="00841EBD">
        <w:rPr>
          <w:szCs w:val="22"/>
          <w:lang w:val="is-IS"/>
        </w:rPr>
        <w:t>stíf</w:t>
      </w:r>
      <w:r w:rsidR="001F0FB6">
        <w:rPr>
          <w:szCs w:val="22"/>
          <w:lang w:val="is-IS"/>
        </w:rPr>
        <w:t>malbik), 2,9-4,9%</w:t>
      </w:r>
      <w:r w:rsidRPr="000A0F49">
        <w:rPr>
          <w:szCs w:val="22"/>
          <w:lang w:val="is-IS"/>
        </w:rPr>
        <w:t xml:space="preserve"> (SMA 11) og 2,4-4,4% (SMA 16) svo holrýmdin virðist hafa verið lækkuð um 1% eða þar um bil. Í borkjörnum má holrýmd vera á bilinu 1,5-5,5% í yfirlagsmalbiki og SMA [Vägverket 2005, bls. 13-19]. Áðurnefndar kröfur gilda fyrir malbik með </w:t>
      </w:r>
      <w:r w:rsidR="009C386E">
        <w:rPr>
          <w:szCs w:val="22"/>
          <w:lang w:val="is-IS"/>
        </w:rPr>
        <w:t xml:space="preserve">PG </w:t>
      </w:r>
      <w:r w:rsidRPr="000A0F49">
        <w:rPr>
          <w:szCs w:val="22"/>
          <w:lang w:val="is-IS"/>
        </w:rPr>
        <w:t>160/220</w:t>
      </w:r>
      <w:r w:rsidR="009C386E">
        <w:rPr>
          <w:szCs w:val="22"/>
          <w:lang w:val="is-IS"/>
        </w:rPr>
        <w:t xml:space="preserve"> bik</w:t>
      </w:r>
      <w:r w:rsidRPr="000A0F49">
        <w:rPr>
          <w:szCs w:val="22"/>
          <w:lang w:val="is-IS"/>
        </w:rPr>
        <w:t xml:space="preserve">. Allt þetta </w:t>
      </w:r>
      <w:r>
        <w:rPr>
          <w:szCs w:val="22"/>
          <w:lang w:val="is-IS"/>
        </w:rPr>
        <w:t>bendir</w:t>
      </w:r>
      <w:r w:rsidRPr="000A0F49">
        <w:rPr>
          <w:szCs w:val="22"/>
          <w:lang w:val="is-IS"/>
        </w:rPr>
        <w:t xml:space="preserve"> til þess að Svíar telji mikilvægt að halda holrýmd niðri, ekki síst í ljósi þess að sumarhitar eru meiri þar en hér og hætta á skriði að sama skapi meiri. Því má bæta við að þjöppunarkrafa, sem var í VÄG 94 hefur verið tekin út í ATB VÄG 2005. </w:t>
      </w:r>
    </w:p>
    <w:p w14:paraId="33D07F91" w14:textId="77777777" w:rsidR="0029301E" w:rsidRPr="000A0F49" w:rsidRDefault="0029301E" w:rsidP="0029301E">
      <w:pPr>
        <w:ind w:firstLine="342"/>
        <w:jc w:val="both"/>
        <w:rPr>
          <w:szCs w:val="22"/>
          <w:lang w:val="is-IS"/>
        </w:rPr>
      </w:pPr>
      <w:r w:rsidRPr="000A0F49">
        <w:rPr>
          <w:szCs w:val="22"/>
          <w:lang w:val="is-IS"/>
        </w:rPr>
        <w:t xml:space="preserve">Ekki hefur verið kannað hvort einhverjar svipaðar breytingar á holrýmd hafa verið gerðar í Noregi. </w:t>
      </w:r>
    </w:p>
    <w:p w14:paraId="33D07F92" w14:textId="77777777" w:rsidR="0029301E" w:rsidRPr="000A0F49" w:rsidRDefault="0029301E" w:rsidP="0029301E">
      <w:pPr>
        <w:ind w:firstLine="342"/>
        <w:jc w:val="both"/>
        <w:rPr>
          <w:szCs w:val="22"/>
          <w:lang w:val="is-IS"/>
        </w:rPr>
      </w:pPr>
      <w:r w:rsidRPr="000A0F49">
        <w:rPr>
          <w:szCs w:val="22"/>
          <w:lang w:val="is-IS"/>
        </w:rPr>
        <w:t>Því má heldur ekki gleyma að eiginleikar steinefnisins svo sem brothlutfall og lögun skipt</w:t>
      </w:r>
      <w:r>
        <w:rPr>
          <w:szCs w:val="22"/>
          <w:lang w:val="is-IS"/>
        </w:rPr>
        <w:t>a</w:t>
      </w:r>
      <w:r w:rsidRPr="000A0F49">
        <w:rPr>
          <w:szCs w:val="22"/>
          <w:lang w:val="is-IS"/>
        </w:rPr>
        <w:t xml:space="preserve"> máli fyrir líkur á skriði, sömuleiðis hlutfall mélu (filler) í steinefninu og bindiefnis</w:t>
      </w:r>
      <w:r w:rsidR="009D060A">
        <w:rPr>
          <w:szCs w:val="22"/>
          <w:lang w:val="is-IS"/>
        </w:rPr>
        <w:t xml:space="preserve"> í malbikinu</w:t>
      </w:r>
      <w:r w:rsidRPr="000A0F49">
        <w:rPr>
          <w:szCs w:val="22"/>
          <w:lang w:val="is-IS"/>
        </w:rPr>
        <w:t xml:space="preserve">. Þess vegna er ekki rétt að einblína á holrýmd þegar hætta á skriði er metin. EN-staðlarnir gera líka ráð fyrir að skriðeiginleikar malbiksins séu prófaðir. </w:t>
      </w:r>
    </w:p>
    <w:p w14:paraId="33D07F93" w14:textId="77777777" w:rsidR="0029301E" w:rsidRPr="000A0F49" w:rsidRDefault="0029301E" w:rsidP="0029301E">
      <w:pPr>
        <w:ind w:firstLine="342"/>
        <w:jc w:val="both"/>
        <w:rPr>
          <w:szCs w:val="22"/>
          <w:lang w:val="is-IS"/>
        </w:rPr>
      </w:pPr>
      <w:r w:rsidRPr="000A0F49">
        <w:rPr>
          <w:szCs w:val="22"/>
          <w:lang w:val="is-IS"/>
        </w:rPr>
        <w:t>Áherslu á þjöppun má túlka þannig að það sé ekki nóg að holrýmdin sé lítil, það þurfi einnig að tryggja að malbikið sé pressað eins vel saman (hátt þjöppunarhlutfall) og hægt er með góðu móti (án þess þó að holrýmdin verði of lítil, það má fyrirbyggja með sáldurferli malbiksins). Að öðrum kosti verði malbikið laust í sér sem býður upp á sig og skrið. Hátt</w:t>
      </w:r>
      <w:r w:rsidRPr="000953F3">
        <w:rPr>
          <w:szCs w:val="22"/>
          <w:lang w:val="is-IS"/>
        </w:rPr>
        <w:t xml:space="preserve"> </w:t>
      </w:r>
      <w:r w:rsidRPr="000A0F49">
        <w:rPr>
          <w:szCs w:val="22"/>
          <w:lang w:val="is-IS"/>
        </w:rPr>
        <w:t xml:space="preserve">þjöppunarhlutfall eykur stífni malbiksins </w:t>
      </w:r>
      <w:r w:rsidR="00B85809">
        <w:rPr>
          <w:szCs w:val="22"/>
          <w:lang w:val="is-IS"/>
        </w:rPr>
        <w:t>[</w:t>
      </w:r>
      <w:r>
        <w:rPr>
          <w:szCs w:val="22"/>
          <w:lang w:val="is-IS"/>
        </w:rPr>
        <w:t>Frostman bls. 57</w:t>
      </w:r>
      <w:r w:rsidR="00B85809">
        <w:rPr>
          <w:szCs w:val="22"/>
          <w:lang w:val="is-IS"/>
        </w:rPr>
        <w:t>]</w:t>
      </w:r>
      <w:r>
        <w:rPr>
          <w:szCs w:val="22"/>
          <w:lang w:val="is-IS"/>
        </w:rPr>
        <w:t xml:space="preserve"> </w:t>
      </w:r>
      <w:r w:rsidRPr="000A0F49">
        <w:rPr>
          <w:szCs w:val="22"/>
          <w:lang w:val="is-IS"/>
        </w:rPr>
        <w:t xml:space="preserve">en þá er </w:t>
      </w:r>
      <w:r>
        <w:rPr>
          <w:szCs w:val="22"/>
          <w:lang w:val="is-IS"/>
        </w:rPr>
        <w:t>að vísu</w:t>
      </w:r>
      <w:r w:rsidRPr="000A0F49">
        <w:rPr>
          <w:szCs w:val="22"/>
          <w:lang w:val="is-IS"/>
        </w:rPr>
        <w:t xml:space="preserve"> meiri hætta á að það springi á lélegri undirbyggingu. </w:t>
      </w:r>
      <w:r>
        <w:rPr>
          <w:szCs w:val="22"/>
          <w:lang w:val="is-IS"/>
        </w:rPr>
        <w:t>Á þessari forsendu</w:t>
      </w:r>
      <w:r w:rsidRPr="000A0F49">
        <w:rPr>
          <w:szCs w:val="22"/>
          <w:lang w:val="is-IS"/>
        </w:rPr>
        <w:t xml:space="preserve"> getur skipt máli að tiltaka þjöppunarhlutfall (ekki bara holrýmd) í útlögðu malbiki</w:t>
      </w:r>
      <w:r>
        <w:rPr>
          <w:szCs w:val="22"/>
          <w:lang w:val="is-IS"/>
        </w:rPr>
        <w:t>, þótt líklegt sé að negldir hjólbarðar muni hafa meiri áhrif á endingu þess en stífnin.</w:t>
      </w:r>
    </w:p>
    <w:p w14:paraId="33D07F94" w14:textId="3D0AE37E" w:rsidR="0029301E" w:rsidRPr="000A0F49" w:rsidRDefault="0029301E" w:rsidP="0029301E">
      <w:pPr>
        <w:ind w:firstLine="342"/>
        <w:jc w:val="both"/>
        <w:rPr>
          <w:szCs w:val="22"/>
          <w:lang w:val="is-IS"/>
        </w:rPr>
      </w:pPr>
      <w:r w:rsidRPr="000A0F49">
        <w:rPr>
          <w:szCs w:val="22"/>
          <w:lang w:val="is-IS"/>
        </w:rPr>
        <w:t xml:space="preserve">Í skýrslu um Superpave </w:t>
      </w:r>
      <w:r w:rsidR="00B85809">
        <w:rPr>
          <w:szCs w:val="22"/>
          <w:lang w:val="is-IS"/>
        </w:rPr>
        <w:t>[</w:t>
      </w:r>
      <w:r w:rsidRPr="000A0F49">
        <w:rPr>
          <w:szCs w:val="22"/>
          <w:lang w:val="is-IS"/>
        </w:rPr>
        <w:t>Ásbjörn Jóhannesson, bls. 27</w:t>
      </w:r>
      <w:r w:rsidR="00B85809">
        <w:rPr>
          <w:szCs w:val="22"/>
          <w:lang w:val="is-IS"/>
        </w:rPr>
        <w:t>]</w:t>
      </w:r>
      <w:r w:rsidRPr="000A0F49">
        <w:rPr>
          <w:szCs w:val="22"/>
          <w:lang w:val="is-IS"/>
        </w:rPr>
        <w:t xml:space="preserve"> er ályktað að bindiefni það sem mest er notað hérlendis (</w:t>
      </w:r>
      <w:r w:rsidR="009E50FB">
        <w:rPr>
          <w:szCs w:val="22"/>
          <w:lang w:val="is-IS"/>
        </w:rPr>
        <w:t xml:space="preserve">PG </w:t>
      </w:r>
      <w:r w:rsidRPr="000A0F49">
        <w:rPr>
          <w:szCs w:val="22"/>
          <w:lang w:val="is-IS"/>
        </w:rPr>
        <w:t xml:space="preserve">160/220) henti ágætlega fyrir íslenskar aðstæður og þoli allt að 58°C en hitafar hérlendis geri aðeins kröfu um 34°C (46°C við verstu aðstæður). Það gæti því verið mögulegt að lækka </w:t>
      </w:r>
      <w:r>
        <w:rPr>
          <w:szCs w:val="22"/>
          <w:lang w:val="is-IS"/>
        </w:rPr>
        <w:t xml:space="preserve">neðri mörk </w:t>
      </w:r>
      <w:r w:rsidRPr="000A0F49">
        <w:rPr>
          <w:szCs w:val="22"/>
          <w:lang w:val="is-IS"/>
        </w:rPr>
        <w:t>holrýmd</w:t>
      </w:r>
      <w:r>
        <w:rPr>
          <w:szCs w:val="22"/>
          <w:lang w:val="is-IS"/>
        </w:rPr>
        <w:t>ar</w:t>
      </w:r>
      <w:r w:rsidRPr="000A0F49">
        <w:rPr>
          <w:szCs w:val="22"/>
          <w:lang w:val="is-IS"/>
        </w:rPr>
        <w:t xml:space="preserve"> á þessari forsendu, en sem stendur er ekki ljóst hvort svo er, né heldur hvernig hentugast væri að meta það.</w:t>
      </w:r>
    </w:p>
    <w:p w14:paraId="33D07F95" w14:textId="65C6353C" w:rsidR="0029301E" w:rsidRPr="000A0F49" w:rsidRDefault="0029301E" w:rsidP="0029301E">
      <w:pPr>
        <w:ind w:firstLine="342"/>
        <w:jc w:val="both"/>
        <w:rPr>
          <w:szCs w:val="22"/>
          <w:lang w:val="is-IS"/>
        </w:rPr>
      </w:pPr>
      <w:r w:rsidRPr="000A0F49">
        <w:rPr>
          <w:szCs w:val="22"/>
          <w:lang w:val="is-IS"/>
        </w:rPr>
        <w:t xml:space="preserve">Vafalítið er mikilvægt að missa ekki sjónar á sérstöðu okkar hvað veðurfar varðar. Við </w:t>
      </w:r>
      <w:r w:rsidR="00B85809">
        <w:rPr>
          <w:szCs w:val="22"/>
          <w:lang w:val="is-IS"/>
        </w:rPr>
        <w:t>búum við örar</w:t>
      </w:r>
      <w:r w:rsidRPr="000A0F49">
        <w:rPr>
          <w:szCs w:val="22"/>
          <w:lang w:val="is-IS"/>
        </w:rPr>
        <w:t xml:space="preserve"> frostþíðusveiflur, blautar götur langtímum saman að vetrarlagi og gropin steinefni. </w:t>
      </w:r>
      <w:r>
        <w:rPr>
          <w:szCs w:val="22"/>
          <w:lang w:val="is-IS"/>
        </w:rPr>
        <w:t>Vísast má</w:t>
      </w:r>
      <w:r w:rsidRPr="000A0F49">
        <w:rPr>
          <w:szCs w:val="22"/>
          <w:lang w:val="is-IS"/>
        </w:rPr>
        <w:t xml:space="preserve"> færa rök að því að þessar aðstæður reyni mikið á malbikið</w:t>
      </w:r>
      <w:r>
        <w:rPr>
          <w:szCs w:val="22"/>
          <w:lang w:val="is-IS"/>
        </w:rPr>
        <w:t>;</w:t>
      </w:r>
      <w:r w:rsidRPr="000A0F49">
        <w:rPr>
          <w:szCs w:val="22"/>
          <w:lang w:val="is-IS"/>
        </w:rPr>
        <w:t xml:space="preserve"> lág holrýmd og þykk bindiefnishimna</w:t>
      </w:r>
      <w:r w:rsidR="00B85809">
        <w:rPr>
          <w:szCs w:val="22"/>
          <w:lang w:val="is-IS"/>
        </w:rPr>
        <w:t xml:space="preserve"> á steinefnunum sé hvort </w:t>
      </w:r>
      <w:r w:rsidRPr="000A0F49">
        <w:rPr>
          <w:szCs w:val="22"/>
          <w:lang w:val="is-IS"/>
        </w:rPr>
        <w:t xml:space="preserve">tveggja æskilegt undir þessum kringumstæðum til að koma í veg fyrir skemmdir. Hátt bindiefnisinnihald vinnur líka gegn sprungum í malbiki </w:t>
      </w:r>
      <w:r>
        <w:rPr>
          <w:szCs w:val="22"/>
          <w:lang w:val="is-IS"/>
        </w:rPr>
        <w:t>þar sem</w:t>
      </w:r>
      <w:r w:rsidRPr="000A0F49">
        <w:rPr>
          <w:szCs w:val="22"/>
          <w:lang w:val="is-IS"/>
        </w:rPr>
        <w:t xml:space="preserve"> undirbyggingin </w:t>
      </w:r>
      <w:r>
        <w:rPr>
          <w:szCs w:val="22"/>
          <w:lang w:val="is-IS"/>
        </w:rPr>
        <w:t>er</w:t>
      </w:r>
      <w:r w:rsidRPr="000A0F49">
        <w:rPr>
          <w:szCs w:val="22"/>
          <w:lang w:val="is-IS"/>
        </w:rPr>
        <w:t xml:space="preserve"> ekki upp á það besta, malbikið lagar sig þá frekar að hreyfingum í </w:t>
      </w:r>
      <w:r>
        <w:rPr>
          <w:szCs w:val="22"/>
          <w:lang w:val="is-IS"/>
        </w:rPr>
        <w:t>henni</w:t>
      </w:r>
      <w:r w:rsidRPr="000A0F49">
        <w:rPr>
          <w:szCs w:val="22"/>
          <w:lang w:val="is-IS"/>
        </w:rPr>
        <w:t xml:space="preserve">. </w:t>
      </w:r>
      <w:r>
        <w:rPr>
          <w:szCs w:val="22"/>
          <w:lang w:val="is-IS"/>
        </w:rPr>
        <w:t xml:space="preserve">Sömuleiðis er vafasamt </w:t>
      </w:r>
      <w:r w:rsidRPr="000A0F49">
        <w:rPr>
          <w:szCs w:val="22"/>
          <w:lang w:val="is-IS"/>
        </w:rPr>
        <w:t>að malbik með holrýmd yfir 4-5% sé nægilega þétt fyrir íslenskar aðstæður, en afgerandi dæmi því til stuðnings</w:t>
      </w:r>
      <w:r>
        <w:rPr>
          <w:szCs w:val="22"/>
          <w:lang w:val="is-IS"/>
        </w:rPr>
        <w:t xml:space="preserve"> eru ekki tiltæk</w:t>
      </w:r>
      <w:r w:rsidRPr="000A0F49">
        <w:rPr>
          <w:szCs w:val="22"/>
          <w:lang w:val="is-IS"/>
        </w:rPr>
        <w:t>. Þ</w:t>
      </w:r>
      <w:r>
        <w:rPr>
          <w:szCs w:val="22"/>
          <w:lang w:val="is-IS"/>
        </w:rPr>
        <w:t>ó</w:t>
      </w:r>
      <w:r w:rsidRPr="000A0F49">
        <w:rPr>
          <w:szCs w:val="22"/>
          <w:lang w:val="is-IS"/>
        </w:rPr>
        <w:t xml:space="preserve"> hefur líka verið sýnt fram á að vatn fer með tímanum gegnum bindiefni sem hefur verið roðið í þunnu lagi á glerplötur, svo það </w:t>
      </w:r>
      <w:r w:rsidRPr="000A0F49">
        <w:rPr>
          <w:szCs w:val="22"/>
          <w:lang w:val="is-IS"/>
        </w:rPr>
        <w:lastRenderedPageBreak/>
        <w:t>er heldur ekki þétt</w:t>
      </w:r>
      <w:r>
        <w:rPr>
          <w:szCs w:val="22"/>
          <w:lang w:val="is-IS"/>
        </w:rPr>
        <w:t xml:space="preserve"> </w:t>
      </w:r>
      <w:r w:rsidR="00B85809">
        <w:rPr>
          <w:szCs w:val="22"/>
          <w:lang w:val="is-IS"/>
        </w:rPr>
        <w:t>[</w:t>
      </w:r>
      <w:r>
        <w:rPr>
          <w:szCs w:val="22"/>
          <w:lang w:val="is-IS"/>
        </w:rPr>
        <w:t>Fromm bls. 217</w:t>
      </w:r>
      <w:r w:rsidR="00B85809">
        <w:rPr>
          <w:szCs w:val="22"/>
          <w:lang w:val="is-IS"/>
        </w:rPr>
        <w:t>]</w:t>
      </w:r>
      <w:r w:rsidRPr="000A0F49">
        <w:rPr>
          <w:szCs w:val="22"/>
          <w:lang w:val="is-IS"/>
        </w:rPr>
        <w:t xml:space="preserve">. Rannsóknir hafa líka sýnt </w:t>
      </w:r>
      <w:r w:rsidR="00B85809">
        <w:rPr>
          <w:szCs w:val="22"/>
          <w:lang w:val="is-IS"/>
        </w:rPr>
        <w:t>[</w:t>
      </w:r>
      <w:r w:rsidRPr="000A0F49">
        <w:rPr>
          <w:szCs w:val="22"/>
          <w:lang w:val="is-IS"/>
        </w:rPr>
        <w:t>NVF 33, bls. 55</w:t>
      </w:r>
      <w:r w:rsidR="00B85809">
        <w:rPr>
          <w:szCs w:val="22"/>
          <w:lang w:val="is-IS"/>
        </w:rPr>
        <w:t>]</w:t>
      </w:r>
      <w:r w:rsidRPr="000A0F49">
        <w:rPr>
          <w:szCs w:val="22"/>
          <w:lang w:val="is-IS"/>
        </w:rPr>
        <w:t xml:space="preserve"> að saltblandað vatn smýgur gegnum bindiefnishimnuna.</w:t>
      </w:r>
    </w:p>
    <w:p w14:paraId="33D07F96" w14:textId="4CB821F3" w:rsidR="0029301E" w:rsidRPr="000A0F49" w:rsidRDefault="0029301E" w:rsidP="0029301E">
      <w:pPr>
        <w:ind w:firstLine="342"/>
        <w:jc w:val="both"/>
        <w:rPr>
          <w:szCs w:val="22"/>
          <w:lang w:val="is-IS"/>
        </w:rPr>
      </w:pPr>
      <w:r w:rsidRPr="000A0F49">
        <w:rPr>
          <w:szCs w:val="22"/>
          <w:lang w:val="is-IS"/>
        </w:rPr>
        <w:t>Hall</w:t>
      </w:r>
      <w:r>
        <w:rPr>
          <w:szCs w:val="22"/>
          <w:lang w:val="is-IS"/>
        </w:rPr>
        <w:t>d</w:t>
      </w:r>
      <w:r w:rsidRPr="000A0F49">
        <w:rPr>
          <w:szCs w:val="22"/>
          <w:lang w:val="is-IS"/>
        </w:rPr>
        <w:t xml:space="preserve">ór Torfason hjá </w:t>
      </w:r>
      <w:r>
        <w:rPr>
          <w:szCs w:val="22"/>
          <w:lang w:val="is-IS"/>
        </w:rPr>
        <w:t>M</w:t>
      </w:r>
      <w:r w:rsidR="001F0FB6">
        <w:rPr>
          <w:szCs w:val="22"/>
          <w:lang w:val="is-IS"/>
        </w:rPr>
        <w:t xml:space="preserve">albikunarstöðinni Höfða </w:t>
      </w:r>
      <w:r w:rsidRPr="000A0F49">
        <w:rPr>
          <w:szCs w:val="22"/>
          <w:lang w:val="is-IS"/>
        </w:rPr>
        <w:t>telur að lauslega áætlað liggi holrýmd í útlögðu malbiki um 1% ofan við Marshallholrýmd. Hann telur þó að 1% mismunur (99% þjöppun) sé naumt skammtað. Hann staðfesti að Torbjörn Jakobson hafi komið hingað fyrir nokkrum árum, skoðað götur og gert skýrslu þar um. Hann hafi ekki sett út á hátt bindiefnisinnihald hérlendis.</w:t>
      </w:r>
    </w:p>
    <w:p w14:paraId="33D07F97" w14:textId="77777777" w:rsidR="0029301E" w:rsidRPr="000A0F49" w:rsidRDefault="0029301E" w:rsidP="0029301E">
      <w:pPr>
        <w:ind w:firstLine="342"/>
        <w:jc w:val="both"/>
        <w:rPr>
          <w:szCs w:val="22"/>
          <w:lang w:val="is-IS"/>
        </w:rPr>
      </w:pPr>
      <w:r w:rsidRPr="000A0F49">
        <w:rPr>
          <w:szCs w:val="22"/>
          <w:lang w:val="is-IS"/>
        </w:rPr>
        <w:t>Halldór gat þess einnig að hátt bindiefnisinnihald hefði verið kært vegna banaslyss sem var</w:t>
      </w:r>
      <w:r>
        <w:rPr>
          <w:szCs w:val="22"/>
          <w:lang w:val="is-IS"/>
        </w:rPr>
        <w:t>ð</w:t>
      </w:r>
      <w:r w:rsidRPr="000A0F49">
        <w:rPr>
          <w:szCs w:val="22"/>
          <w:lang w:val="is-IS"/>
        </w:rPr>
        <w:t xml:space="preserve"> á Kringlumýrarbraut fyrir nokkrum árum. Hátt bindiefnisinnihald hefur tilhneigingu til að </w:t>
      </w:r>
      <w:r>
        <w:rPr>
          <w:szCs w:val="22"/>
          <w:lang w:val="is-IS"/>
        </w:rPr>
        <w:t>mynda</w:t>
      </w:r>
      <w:r w:rsidRPr="000A0F49">
        <w:rPr>
          <w:szCs w:val="22"/>
          <w:lang w:val="is-IS"/>
        </w:rPr>
        <w:t xml:space="preserve"> feita bletti</w:t>
      </w:r>
      <w:r w:rsidR="009E50FB">
        <w:rPr>
          <w:szCs w:val="22"/>
          <w:lang w:val="is-IS"/>
        </w:rPr>
        <w:t>, sérstaklega</w:t>
      </w:r>
      <w:r w:rsidRPr="000A0F49">
        <w:rPr>
          <w:szCs w:val="22"/>
          <w:lang w:val="is-IS"/>
        </w:rPr>
        <w:t xml:space="preserve"> í</w:t>
      </w:r>
      <w:r w:rsidR="009E50FB">
        <w:rPr>
          <w:szCs w:val="22"/>
          <w:lang w:val="is-IS"/>
        </w:rPr>
        <w:t xml:space="preserve"> steinríku malbiki</w:t>
      </w:r>
      <w:r w:rsidRPr="000A0F49">
        <w:rPr>
          <w:szCs w:val="22"/>
          <w:lang w:val="is-IS"/>
        </w:rPr>
        <w:t xml:space="preserve"> </w:t>
      </w:r>
      <w:r w:rsidR="009E50FB">
        <w:rPr>
          <w:szCs w:val="22"/>
          <w:lang w:val="is-IS"/>
        </w:rPr>
        <w:t>(</w:t>
      </w:r>
      <w:r w:rsidRPr="000A0F49">
        <w:rPr>
          <w:szCs w:val="22"/>
          <w:lang w:val="is-IS"/>
        </w:rPr>
        <w:t>SMA</w:t>
      </w:r>
      <w:r w:rsidR="009E50FB">
        <w:rPr>
          <w:szCs w:val="22"/>
          <w:lang w:val="is-IS"/>
        </w:rPr>
        <w:t>)</w:t>
      </w:r>
      <w:r w:rsidRPr="000A0F49">
        <w:rPr>
          <w:szCs w:val="22"/>
          <w:lang w:val="is-IS"/>
        </w:rPr>
        <w:t>.</w:t>
      </w:r>
    </w:p>
    <w:p w14:paraId="33D07F98" w14:textId="16C1BBCD" w:rsidR="0029301E" w:rsidRPr="000A0F49" w:rsidRDefault="0029301E" w:rsidP="0029301E">
      <w:pPr>
        <w:ind w:firstLine="342"/>
        <w:jc w:val="both"/>
        <w:rPr>
          <w:szCs w:val="22"/>
          <w:lang w:val="is-IS"/>
        </w:rPr>
      </w:pPr>
      <w:r>
        <w:rPr>
          <w:szCs w:val="22"/>
          <w:lang w:val="is-IS"/>
        </w:rPr>
        <w:t xml:space="preserve">Reynsla undanfarinna ára bendir til sveiflukenndrar endingar á malbiki á </w:t>
      </w:r>
      <w:r w:rsidRPr="000A0F49">
        <w:rPr>
          <w:szCs w:val="22"/>
          <w:lang w:val="is-IS"/>
        </w:rPr>
        <w:t>götum Reykjavíkur. Hún gæti stafað af breytingum á holrýmd eða bindiefnisinnihaldi</w:t>
      </w:r>
      <w:r>
        <w:rPr>
          <w:szCs w:val="22"/>
          <w:lang w:val="is-IS"/>
        </w:rPr>
        <w:t>. Þegar skriðs verður vart er reynt að bæta úr því með hærri holrýmd og þegar skemmdir aukast vegna hárrar holrýmdar er bindiefnisinnihaldið aukið á nýjan leik</w:t>
      </w:r>
      <w:r w:rsidRPr="000A0F49">
        <w:rPr>
          <w:szCs w:val="22"/>
          <w:lang w:val="is-IS"/>
        </w:rPr>
        <w:t xml:space="preserve">. Sé það hins vegar rétt að skrið sé 10-15% af hjólfaramynduninni er það farið að skipta máli í endingu, það svarar um það bil til þess að hún minnki um eitt ár. Vandinn er að finna út hversu langt niður </w:t>
      </w:r>
      <w:r w:rsidR="00B85809">
        <w:rPr>
          <w:szCs w:val="22"/>
          <w:lang w:val="is-IS"/>
        </w:rPr>
        <w:t>má</w:t>
      </w:r>
      <w:r w:rsidRPr="000A0F49">
        <w:rPr>
          <w:szCs w:val="22"/>
          <w:lang w:val="is-IS"/>
        </w:rPr>
        <w:t xml:space="preserve"> fara með holrýmdina án þess að það komi verulega að sök og </w:t>
      </w:r>
      <w:r>
        <w:rPr>
          <w:szCs w:val="22"/>
          <w:lang w:val="is-IS"/>
        </w:rPr>
        <w:t>svarið er vandfundið</w:t>
      </w:r>
      <w:r w:rsidRPr="000A0F49">
        <w:rPr>
          <w:szCs w:val="22"/>
          <w:lang w:val="is-IS"/>
        </w:rPr>
        <w:t xml:space="preserve">.   </w:t>
      </w:r>
    </w:p>
    <w:p w14:paraId="33D07F99" w14:textId="77777777" w:rsidR="0029301E" w:rsidRPr="000A0F49" w:rsidRDefault="0029301E" w:rsidP="0029301E">
      <w:pPr>
        <w:ind w:firstLine="342"/>
        <w:jc w:val="both"/>
        <w:rPr>
          <w:szCs w:val="22"/>
          <w:lang w:val="is-IS"/>
        </w:rPr>
      </w:pPr>
      <w:r w:rsidRPr="000A0F49">
        <w:rPr>
          <w:szCs w:val="22"/>
          <w:lang w:val="is-IS"/>
        </w:rPr>
        <w:t>Enn ein hugdetta; er líklegt til árangurs að nota harðara bindiefni og meira af því, vinna þannig samtímis gegn skriði og skemmdum? Gallinn á þessu er sá að þunn</w:t>
      </w:r>
      <w:r w:rsidR="00B85809">
        <w:rPr>
          <w:szCs w:val="22"/>
          <w:lang w:val="is-IS"/>
        </w:rPr>
        <w:t>um</w:t>
      </w:r>
      <w:r w:rsidRPr="000A0F49">
        <w:rPr>
          <w:szCs w:val="22"/>
          <w:lang w:val="is-IS"/>
        </w:rPr>
        <w:t xml:space="preserve"> l</w:t>
      </w:r>
      <w:r w:rsidR="00B85809">
        <w:rPr>
          <w:szCs w:val="22"/>
          <w:lang w:val="is-IS"/>
        </w:rPr>
        <w:t>ögnum</w:t>
      </w:r>
      <w:r w:rsidRPr="000A0F49">
        <w:rPr>
          <w:szCs w:val="22"/>
          <w:lang w:val="is-IS"/>
        </w:rPr>
        <w:t xml:space="preserve"> úr hörðu malbiki </w:t>
      </w:r>
      <w:r>
        <w:rPr>
          <w:szCs w:val="22"/>
          <w:lang w:val="is-IS"/>
        </w:rPr>
        <w:t>hættir við</w:t>
      </w:r>
      <w:r w:rsidRPr="000A0F49">
        <w:rPr>
          <w:szCs w:val="22"/>
          <w:lang w:val="is-IS"/>
        </w:rPr>
        <w:t xml:space="preserve"> að krossspringa (</w:t>
      </w:r>
      <w:r w:rsidR="009E50FB">
        <w:rPr>
          <w:szCs w:val="22"/>
          <w:lang w:val="is-IS"/>
        </w:rPr>
        <w:t xml:space="preserve">e. </w:t>
      </w:r>
      <w:r>
        <w:rPr>
          <w:szCs w:val="22"/>
          <w:lang w:val="is-IS"/>
        </w:rPr>
        <w:t>chicken wire cracking</w:t>
      </w:r>
      <w:r w:rsidRPr="000A0F49">
        <w:rPr>
          <w:szCs w:val="22"/>
          <w:lang w:val="is-IS"/>
        </w:rPr>
        <w:t xml:space="preserve">) ef þær liggja á lélegri undirbyggingu.  </w:t>
      </w:r>
    </w:p>
    <w:p w14:paraId="33D07F9A" w14:textId="77777777" w:rsidR="0029301E" w:rsidRPr="000A0F49" w:rsidRDefault="0029301E" w:rsidP="0029301E">
      <w:pPr>
        <w:spacing w:after="60"/>
        <w:ind w:firstLine="342"/>
        <w:jc w:val="both"/>
        <w:rPr>
          <w:szCs w:val="22"/>
          <w:lang w:val="is-IS"/>
        </w:rPr>
      </w:pPr>
      <w:r w:rsidRPr="000A0F49">
        <w:rPr>
          <w:szCs w:val="22"/>
          <w:lang w:val="is-IS"/>
        </w:rPr>
        <w:t xml:space="preserve">Að síðustu </w:t>
      </w:r>
      <w:r>
        <w:rPr>
          <w:szCs w:val="22"/>
          <w:lang w:val="is-IS"/>
        </w:rPr>
        <w:t>fáein orð um sambandið</w:t>
      </w:r>
      <w:r w:rsidRPr="000A0F49">
        <w:rPr>
          <w:szCs w:val="22"/>
          <w:lang w:val="is-IS"/>
        </w:rPr>
        <w:t xml:space="preserve"> milli holrýmdar í útlögðu malbiki og þjöppunarhlutfalls</w:t>
      </w:r>
      <w:r>
        <w:rPr>
          <w:szCs w:val="22"/>
          <w:lang w:val="is-IS"/>
        </w:rPr>
        <w:t>:</w:t>
      </w:r>
    </w:p>
    <w:p w14:paraId="33D07F9B" w14:textId="5C4AFF99" w:rsidR="0029301E" w:rsidRPr="000A0F49" w:rsidRDefault="0029301E" w:rsidP="0029301E">
      <w:pPr>
        <w:numPr>
          <w:ilvl w:val="0"/>
          <w:numId w:val="7"/>
        </w:numPr>
        <w:jc w:val="both"/>
        <w:rPr>
          <w:szCs w:val="22"/>
          <w:lang w:val="is-IS"/>
        </w:rPr>
      </w:pPr>
      <w:r w:rsidRPr="000A0F49">
        <w:rPr>
          <w:szCs w:val="22"/>
          <w:lang w:val="is-IS"/>
        </w:rPr>
        <w:t>Ef áskili</w:t>
      </w:r>
      <w:r>
        <w:rPr>
          <w:szCs w:val="22"/>
          <w:lang w:val="is-IS"/>
        </w:rPr>
        <w:t>ð</w:t>
      </w:r>
      <w:r w:rsidRPr="000A0F49">
        <w:rPr>
          <w:szCs w:val="22"/>
          <w:lang w:val="is-IS"/>
        </w:rPr>
        <w:t xml:space="preserve"> þjöppun</w:t>
      </w:r>
      <w:r>
        <w:rPr>
          <w:szCs w:val="22"/>
          <w:lang w:val="is-IS"/>
        </w:rPr>
        <w:t>arhlutfall</w:t>
      </w:r>
      <w:r w:rsidRPr="000A0F49">
        <w:rPr>
          <w:szCs w:val="22"/>
          <w:lang w:val="is-IS"/>
        </w:rPr>
        <w:t xml:space="preserve"> (</w:t>
      </w:r>
      <w:r w:rsidR="009E50FB">
        <w:rPr>
          <w:szCs w:val="22"/>
          <w:lang w:val="is-IS"/>
        </w:rPr>
        <w:t xml:space="preserve">e. </w:t>
      </w:r>
      <w:r w:rsidRPr="000A0F49">
        <w:rPr>
          <w:szCs w:val="22"/>
          <w:lang w:val="is-IS"/>
        </w:rPr>
        <w:t>percentage reference density) er mið</w:t>
      </w:r>
      <w:r>
        <w:rPr>
          <w:szCs w:val="22"/>
          <w:lang w:val="is-IS"/>
        </w:rPr>
        <w:t>a</w:t>
      </w:r>
      <w:r w:rsidRPr="000A0F49">
        <w:rPr>
          <w:szCs w:val="22"/>
          <w:lang w:val="is-IS"/>
        </w:rPr>
        <w:t xml:space="preserve">ð við </w:t>
      </w:r>
      <w:r>
        <w:rPr>
          <w:szCs w:val="22"/>
          <w:lang w:val="is-IS"/>
        </w:rPr>
        <w:t>eðlisþyngd</w:t>
      </w:r>
      <w:r w:rsidRPr="000A0F49">
        <w:rPr>
          <w:szCs w:val="22"/>
          <w:lang w:val="is-IS"/>
        </w:rPr>
        <w:t xml:space="preserve"> rúmþyngd og gefi</w:t>
      </w:r>
      <w:r>
        <w:rPr>
          <w:szCs w:val="22"/>
          <w:lang w:val="is-IS"/>
        </w:rPr>
        <w:t>ð</w:t>
      </w:r>
      <w:r w:rsidRPr="000A0F49">
        <w:rPr>
          <w:szCs w:val="22"/>
          <w:lang w:val="is-IS"/>
        </w:rPr>
        <w:t xml:space="preserve"> upp sem p% má finna holrýmdina sem 100-p. </w:t>
      </w:r>
      <w:r w:rsidRPr="000A0F49">
        <w:rPr>
          <w:i/>
          <w:szCs w:val="22"/>
          <w:lang w:val="is-IS"/>
        </w:rPr>
        <w:t>Dæmi:</w:t>
      </w:r>
      <w:r w:rsidRPr="000A0F49">
        <w:rPr>
          <w:szCs w:val="22"/>
          <w:lang w:val="is-IS"/>
        </w:rPr>
        <w:t xml:space="preserve"> Ef áskilin þjöppun er 98% verður holrýmdin 2%. </w:t>
      </w:r>
    </w:p>
    <w:p w14:paraId="33D07F9D" w14:textId="62201476" w:rsidR="0029301E" w:rsidRPr="00D14E7C" w:rsidRDefault="0029301E" w:rsidP="0029301E">
      <w:pPr>
        <w:numPr>
          <w:ilvl w:val="0"/>
          <w:numId w:val="7"/>
        </w:numPr>
        <w:jc w:val="both"/>
        <w:rPr>
          <w:szCs w:val="22"/>
          <w:lang w:val="is-IS"/>
        </w:rPr>
      </w:pPr>
      <w:r w:rsidRPr="000A0F49">
        <w:rPr>
          <w:szCs w:val="22"/>
          <w:lang w:val="is-IS"/>
        </w:rPr>
        <w:t>Ef áskili</w:t>
      </w:r>
      <w:r>
        <w:rPr>
          <w:szCs w:val="22"/>
          <w:lang w:val="is-IS"/>
        </w:rPr>
        <w:t>ð</w:t>
      </w:r>
      <w:r w:rsidRPr="000A0F49">
        <w:rPr>
          <w:szCs w:val="22"/>
          <w:lang w:val="is-IS"/>
        </w:rPr>
        <w:t xml:space="preserve"> þjöppun</w:t>
      </w:r>
      <w:r>
        <w:rPr>
          <w:szCs w:val="22"/>
          <w:lang w:val="is-IS"/>
        </w:rPr>
        <w:t>arhlutfall</w:t>
      </w:r>
      <w:r w:rsidRPr="000A0F49">
        <w:rPr>
          <w:szCs w:val="22"/>
          <w:lang w:val="is-IS"/>
        </w:rPr>
        <w:t xml:space="preserve"> (</w:t>
      </w:r>
      <w:r w:rsidR="009E50FB">
        <w:rPr>
          <w:szCs w:val="22"/>
          <w:lang w:val="is-IS"/>
        </w:rPr>
        <w:t xml:space="preserve">e. </w:t>
      </w:r>
      <w:r w:rsidRPr="000A0F49">
        <w:rPr>
          <w:szCs w:val="22"/>
          <w:lang w:val="is-IS"/>
        </w:rPr>
        <w:t>percentage reference density) er mið</w:t>
      </w:r>
      <w:r>
        <w:rPr>
          <w:szCs w:val="22"/>
          <w:lang w:val="is-IS"/>
        </w:rPr>
        <w:t>a</w:t>
      </w:r>
      <w:r w:rsidRPr="000A0F49">
        <w:rPr>
          <w:szCs w:val="22"/>
          <w:lang w:val="is-IS"/>
        </w:rPr>
        <w:t>ð við þjöppun á rannsóknastofu (t.d. Marshallþjöppun) og gefi</w:t>
      </w:r>
      <w:r>
        <w:rPr>
          <w:szCs w:val="22"/>
          <w:lang w:val="is-IS"/>
        </w:rPr>
        <w:t>ð</w:t>
      </w:r>
      <w:r w:rsidRPr="000A0F49">
        <w:rPr>
          <w:szCs w:val="22"/>
          <w:lang w:val="is-IS"/>
        </w:rPr>
        <w:t xml:space="preserve"> upp sem p% má finna holrýmdina sem 100-p*q/100 þar sem q er hlutfallsleg þjöppun í Marshallprófi í %. Ef p og q eru hvorutveggja &gt; 95% má með góðri nálgun finna holrýmd í útlögðu malbiki sem (100-p)+(100-q)=200-p-q.</w:t>
      </w:r>
    </w:p>
    <w:p w14:paraId="33D07F9E" w14:textId="77777777" w:rsidR="0029301E" w:rsidRDefault="0029301E" w:rsidP="0029301E">
      <w:pPr>
        <w:jc w:val="both"/>
        <w:rPr>
          <w:sz w:val="24"/>
          <w:szCs w:val="24"/>
          <w:lang w:val="is-IS"/>
        </w:rPr>
      </w:pPr>
    </w:p>
    <w:p w14:paraId="33D07F9F" w14:textId="77777777" w:rsidR="009E50FB" w:rsidRPr="000C3E1D" w:rsidRDefault="009E50FB" w:rsidP="009E50FB">
      <w:pPr>
        <w:ind w:firstLine="340"/>
        <w:jc w:val="both"/>
        <w:rPr>
          <w:b/>
          <w:color w:val="FF0000"/>
          <w:lang w:val="is-IS"/>
        </w:rPr>
      </w:pPr>
      <w:r w:rsidRPr="000C3E1D">
        <w:rPr>
          <w:b/>
          <w:color w:val="FF0000"/>
          <w:lang w:val="is-IS"/>
        </w:rPr>
        <w:t>ATHUGASEMD RITSTJÓRNAR Í JANÚAR 2020</w:t>
      </w:r>
    </w:p>
    <w:p w14:paraId="33D07FA1" w14:textId="1A1518D6" w:rsidR="00B85809" w:rsidRPr="00D14E7C" w:rsidRDefault="009E50FB" w:rsidP="0029301E">
      <w:pPr>
        <w:jc w:val="both"/>
        <w:rPr>
          <w:color w:val="FF0000"/>
          <w:sz w:val="24"/>
          <w:szCs w:val="24"/>
          <w:lang w:val="is-IS"/>
        </w:rPr>
      </w:pPr>
      <w:r w:rsidRPr="000C3E1D">
        <w:rPr>
          <w:color w:val="FF0000"/>
          <w:lang w:val="is-IS"/>
        </w:rPr>
        <w:t>Þessi kafli er látinn halda sér að mestöllu leyti.</w:t>
      </w:r>
    </w:p>
    <w:p w14:paraId="33D07FA2" w14:textId="77777777" w:rsidR="0029301E" w:rsidRDefault="0029301E" w:rsidP="0029301E">
      <w:pPr>
        <w:jc w:val="both"/>
        <w:rPr>
          <w:sz w:val="24"/>
          <w:szCs w:val="24"/>
          <w:lang w:val="is-IS"/>
        </w:rPr>
      </w:pPr>
    </w:p>
    <w:p w14:paraId="33D07FA3" w14:textId="77777777" w:rsidR="0029301E" w:rsidRPr="00E57041" w:rsidRDefault="00BB1B9E" w:rsidP="00E57041">
      <w:pPr>
        <w:spacing w:after="60"/>
        <w:rPr>
          <w:b/>
          <w:sz w:val="24"/>
          <w:szCs w:val="24"/>
          <w:lang w:val="is-IS"/>
        </w:rPr>
      </w:pPr>
      <w:r w:rsidRPr="00E57041">
        <w:rPr>
          <w:b/>
          <w:sz w:val="24"/>
          <w:szCs w:val="24"/>
          <w:lang w:val="is-IS"/>
        </w:rPr>
        <w:t>HEIMILDIR</w:t>
      </w:r>
    </w:p>
    <w:p w14:paraId="33D07FA4" w14:textId="77777777" w:rsidR="0029301E" w:rsidRPr="000A0F49" w:rsidRDefault="0029301E" w:rsidP="0029301E">
      <w:pPr>
        <w:ind w:left="342" w:hanging="342"/>
        <w:jc w:val="both"/>
        <w:rPr>
          <w:szCs w:val="22"/>
          <w:lang w:val="is-IS"/>
        </w:rPr>
      </w:pPr>
      <w:r w:rsidRPr="000A0F49">
        <w:rPr>
          <w:szCs w:val="22"/>
          <w:lang w:val="is-IS"/>
        </w:rPr>
        <w:t xml:space="preserve">Ásbjörn Jóhannesson. 2005. </w:t>
      </w:r>
      <w:r w:rsidRPr="000A0F49">
        <w:rPr>
          <w:i/>
          <w:szCs w:val="22"/>
          <w:lang w:val="is-IS"/>
        </w:rPr>
        <w:t>Superpave.</w:t>
      </w:r>
      <w:r w:rsidRPr="000A0F49">
        <w:rPr>
          <w:szCs w:val="22"/>
          <w:lang w:val="is-IS"/>
        </w:rPr>
        <w:t xml:space="preserve"> Skýrsla nr. 05-04. Unnið fyrir Rannsókna- og þróunarsjóð Vegagerðarinnar. Rannsóknastofnun byggingariðnaðarins. </w:t>
      </w:r>
    </w:p>
    <w:p w14:paraId="33D07FA5" w14:textId="77777777" w:rsidR="0029301E" w:rsidRPr="000A0F49" w:rsidRDefault="0029301E" w:rsidP="0029301E">
      <w:pPr>
        <w:ind w:left="342" w:hanging="342"/>
        <w:jc w:val="both"/>
        <w:rPr>
          <w:szCs w:val="22"/>
          <w:lang w:val="is-IS"/>
        </w:rPr>
      </w:pPr>
      <w:r w:rsidRPr="000A0F49">
        <w:rPr>
          <w:szCs w:val="22"/>
          <w:lang w:val="is-IS"/>
        </w:rPr>
        <w:t xml:space="preserve">Brown, E. R. 1990. </w:t>
      </w:r>
      <w:r w:rsidRPr="000A0F49">
        <w:rPr>
          <w:i/>
          <w:szCs w:val="22"/>
          <w:lang w:val="is-IS"/>
        </w:rPr>
        <w:t>Density of Asphalt Concrete – How Much is Needed.</w:t>
      </w:r>
      <w:r w:rsidRPr="000A0F49">
        <w:rPr>
          <w:szCs w:val="22"/>
          <w:lang w:val="is-IS"/>
        </w:rPr>
        <w:t xml:space="preserve"> NCAT Report No. 90-3. </w:t>
      </w:r>
      <w:hyperlink r:id="rId12" w:history="1">
        <w:r w:rsidRPr="000A0F49">
          <w:rPr>
            <w:rStyle w:val="Hyperlink"/>
            <w:szCs w:val="22"/>
            <w:lang w:val="is-IS"/>
          </w:rPr>
          <w:t>http://ntl.bts.gov/lib/3000/3800/3898/rep90-3.pdf</w:t>
        </w:r>
      </w:hyperlink>
      <w:r w:rsidRPr="000A0F49">
        <w:rPr>
          <w:szCs w:val="22"/>
          <w:lang w:val="is-IS"/>
        </w:rPr>
        <w:t xml:space="preserve"> </w:t>
      </w:r>
    </w:p>
    <w:p w14:paraId="33D07FA6" w14:textId="77777777" w:rsidR="0029301E" w:rsidRPr="000A0F49" w:rsidRDefault="0029301E" w:rsidP="0029301E">
      <w:pPr>
        <w:ind w:left="342" w:hanging="342"/>
        <w:jc w:val="both"/>
        <w:rPr>
          <w:szCs w:val="22"/>
          <w:lang w:val="is-IS"/>
        </w:rPr>
      </w:pPr>
      <w:r>
        <w:rPr>
          <w:szCs w:val="22"/>
          <w:lang w:val="is-IS"/>
        </w:rPr>
        <w:t xml:space="preserve">Fromm, H. J. 1974. </w:t>
      </w:r>
      <w:r w:rsidRPr="00D6297D">
        <w:rPr>
          <w:i/>
          <w:szCs w:val="22"/>
          <w:lang w:val="is-IS"/>
        </w:rPr>
        <w:t>The Mechanisms of Asphalt Stripping from Aggregate Surfaces.</w:t>
      </w:r>
      <w:r>
        <w:rPr>
          <w:szCs w:val="22"/>
          <w:lang w:val="is-IS"/>
        </w:rPr>
        <w:t xml:space="preserve"> Proceedings of the Association of Asphalt Paving Technologists, Vol. 43. Ann Arbor.</w:t>
      </w:r>
    </w:p>
    <w:p w14:paraId="33D07FA7" w14:textId="77777777" w:rsidR="0029301E" w:rsidRPr="000A0F49" w:rsidRDefault="0029301E" w:rsidP="0029301E">
      <w:pPr>
        <w:ind w:left="342" w:hanging="342"/>
        <w:jc w:val="both"/>
        <w:rPr>
          <w:szCs w:val="22"/>
          <w:lang w:val="is-IS"/>
        </w:rPr>
      </w:pPr>
      <w:r w:rsidRPr="000A0F49">
        <w:rPr>
          <w:szCs w:val="22"/>
          <w:lang w:val="is-IS"/>
        </w:rPr>
        <w:t>Frostman, P</w:t>
      </w:r>
      <w:r w:rsidR="00B85809">
        <w:rPr>
          <w:szCs w:val="22"/>
          <w:lang w:val="is-IS"/>
        </w:rPr>
        <w:t>.</w:t>
      </w:r>
      <w:r w:rsidRPr="000A0F49">
        <w:rPr>
          <w:szCs w:val="22"/>
          <w:lang w:val="is-IS"/>
        </w:rPr>
        <w:t xml:space="preserve"> og B. Simonsson. 1984. </w:t>
      </w:r>
      <w:r w:rsidRPr="000A0F49">
        <w:rPr>
          <w:i/>
          <w:szCs w:val="22"/>
          <w:lang w:val="is-IS"/>
        </w:rPr>
        <w:t>Massasammansättningens och packningsgradens inverkan på hällbarheten hos asfaltbetong.</w:t>
      </w:r>
      <w:r w:rsidRPr="000A0F49">
        <w:rPr>
          <w:szCs w:val="22"/>
          <w:lang w:val="is-IS"/>
        </w:rPr>
        <w:t xml:space="preserve"> Rapport till förbundsutskottsmötet i Stockholm 2 och 3 juni 1984. NVF Utskott 33 Asfaltbeläggningar.</w:t>
      </w:r>
    </w:p>
    <w:p w14:paraId="33D07FA8" w14:textId="77777777" w:rsidR="0029301E" w:rsidRPr="000A0F49" w:rsidRDefault="0029301E" w:rsidP="0029301E">
      <w:pPr>
        <w:ind w:left="342" w:hanging="342"/>
        <w:jc w:val="both"/>
        <w:rPr>
          <w:szCs w:val="22"/>
          <w:lang w:val="is-IS"/>
        </w:rPr>
      </w:pPr>
      <w:r w:rsidRPr="000A0F49">
        <w:rPr>
          <w:szCs w:val="22"/>
          <w:lang w:val="is-IS"/>
        </w:rPr>
        <w:t xml:space="preserve">Hultqvist, Bengt-Åke. 1993. </w:t>
      </w:r>
      <w:r w:rsidRPr="000A0F49">
        <w:rPr>
          <w:i/>
          <w:szCs w:val="22"/>
          <w:lang w:val="is-IS"/>
        </w:rPr>
        <w:t>Asfaltbeläggningars deformationsegenskaper – Kunskaps</w:t>
      </w:r>
      <w:r w:rsidRPr="000A0F49">
        <w:rPr>
          <w:i/>
          <w:szCs w:val="22"/>
          <w:lang w:val="is-IS"/>
        </w:rPr>
        <w:softHyphen/>
        <w:t>översikt.</w:t>
      </w:r>
      <w:r w:rsidRPr="000A0F49">
        <w:rPr>
          <w:szCs w:val="22"/>
          <w:lang w:val="is-IS"/>
        </w:rPr>
        <w:t xml:space="preserve"> VTI notat nr. V 205 Väg- och Trafikinstitutet.</w:t>
      </w:r>
    </w:p>
    <w:p w14:paraId="33D07FA9" w14:textId="77777777" w:rsidR="0029301E" w:rsidRPr="000A0F49" w:rsidRDefault="0029301E" w:rsidP="0029301E">
      <w:pPr>
        <w:ind w:left="342" w:hanging="342"/>
        <w:jc w:val="both"/>
        <w:rPr>
          <w:szCs w:val="22"/>
          <w:lang w:val="is-IS"/>
        </w:rPr>
      </w:pPr>
      <w:r w:rsidRPr="000A0F49">
        <w:rPr>
          <w:szCs w:val="22"/>
          <w:lang w:val="is-IS"/>
        </w:rPr>
        <w:t>Hunter, Robert N</w:t>
      </w:r>
      <w:r w:rsidR="00794701">
        <w:rPr>
          <w:szCs w:val="22"/>
          <w:lang w:val="is-IS"/>
        </w:rPr>
        <w:t>.</w:t>
      </w:r>
      <w:r w:rsidRPr="000A0F49">
        <w:rPr>
          <w:szCs w:val="22"/>
          <w:lang w:val="is-IS"/>
        </w:rPr>
        <w:t xml:space="preserve"> (editor). 1994. </w:t>
      </w:r>
      <w:r w:rsidRPr="000A0F49">
        <w:rPr>
          <w:i/>
          <w:szCs w:val="22"/>
          <w:lang w:val="is-IS"/>
        </w:rPr>
        <w:t>Bituminous mixtures in road construction.</w:t>
      </w:r>
      <w:r w:rsidRPr="000A0F49">
        <w:rPr>
          <w:szCs w:val="22"/>
          <w:lang w:val="is-IS"/>
        </w:rPr>
        <w:t xml:space="preserve"> Thomas Telford, London.</w:t>
      </w:r>
    </w:p>
    <w:p w14:paraId="33D07FAA" w14:textId="77777777" w:rsidR="0029301E" w:rsidRPr="000A0F49" w:rsidRDefault="0029301E" w:rsidP="0029301E">
      <w:pPr>
        <w:ind w:left="342" w:hanging="342"/>
        <w:rPr>
          <w:szCs w:val="22"/>
          <w:lang w:val="is-IS"/>
        </w:rPr>
      </w:pPr>
      <w:r w:rsidRPr="000A0F49">
        <w:rPr>
          <w:szCs w:val="22"/>
          <w:lang w:val="is-IS"/>
        </w:rPr>
        <w:t xml:space="preserve">NVF 33. 1985. </w:t>
      </w:r>
      <w:r w:rsidR="001F0FB6">
        <w:rPr>
          <w:i/>
          <w:szCs w:val="22"/>
          <w:lang w:val="is-IS"/>
        </w:rPr>
        <w:t>Materialegenskaper</w:t>
      </w:r>
      <w:r w:rsidRPr="000A0F49">
        <w:rPr>
          <w:i/>
          <w:szCs w:val="22"/>
          <w:lang w:val="is-IS"/>
        </w:rPr>
        <w:t xml:space="preserve"> og funktionskrav for varmblandede dekker og bærelag</w:t>
      </w:r>
      <w:r w:rsidRPr="000A0F49">
        <w:rPr>
          <w:szCs w:val="22"/>
          <w:lang w:val="is-IS"/>
        </w:rPr>
        <w:t xml:space="preserve">. Nordisk vegteknisk forbund. Utvalg 33 – Asfaltbelegninger. Rapport nr. 5 1985. </w:t>
      </w:r>
    </w:p>
    <w:p w14:paraId="33D07FAB" w14:textId="77777777" w:rsidR="0029301E" w:rsidRDefault="0029301E" w:rsidP="0029301E">
      <w:pPr>
        <w:ind w:left="342" w:hanging="342"/>
        <w:jc w:val="both"/>
        <w:rPr>
          <w:szCs w:val="22"/>
          <w:lang w:val="is-IS"/>
        </w:rPr>
      </w:pPr>
      <w:r w:rsidRPr="000A0F49">
        <w:rPr>
          <w:szCs w:val="22"/>
          <w:lang w:val="is-IS"/>
        </w:rPr>
        <w:t xml:space="preserve">Vägverket. 1994. </w:t>
      </w:r>
      <w:r w:rsidRPr="000A0F49">
        <w:rPr>
          <w:i/>
          <w:szCs w:val="22"/>
          <w:lang w:val="is-IS"/>
        </w:rPr>
        <w:t>Allmän teknisk beskrivning för vägkonstruktioner</w:t>
      </w:r>
      <w:r w:rsidRPr="000A0F49">
        <w:rPr>
          <w:szCs w:val="22"/>
          <w:lang w:val="is-IS"/>
        </w:rPr>
        <w:t xml:space="preserve"> </w:t>
      </w:r>
      <w:r w:rsidRPr="000A0F49">
        <w:rPr>
          <w:i/>
          <w:szCs w:val="22"/>
          <w:lang w:val="is-IS"/>
        </w:rPr>
        <w:t>VÄG 94. 6. Bitumenbundna lager.</w:t>
      </w:r>
      <w:r w:rsidRPr="000A0F49">
        <w:rPr>
          <w:szCs w:val="22"/>
          <w:lang w:val="is-IS"/>
        </w:rPr>
        <w:t xml:space="preserve"> VV Publ 1994:26. Borlänge.</w:t>
      </w:r>
    </w:p>
    <w:p w14:paraId="33D07FAC" w14:textId="77777777" w:rsidR="0029301E" w:rsidRPr="000A0F49" w:rsidRDefault="0029301E" w:rsidP="0029301E">
      <w:pPr>
        <w:ind w:left="342" w:hanging="342"/>
        <w:jc w:val="both"/>
        <w:rPr>
          <w:szCs w:val="22"/>
          <w:lang w:val="is-IS"/>
        </w:rPr>
      </w:pPr>
      <w:r w:rsidRPr="000A0F49">
        <w:rPr>
          <w:szCs w:val="22"/>
          <w:lang w:val="is-IS"/>
        </w:rPr>
        <w:t xml:space="preserve">Vägverket. 2005. </w:t>
      </w:r>
      <w:r w:rsidRPr="000A0F49">
        <w:rPr>
          <w:i/>
          <w:szCs w:val="22"/>
          <w:lang w:val="is-IS"/>
        </w:rPr>
        <w:t>ATB VÄG 2005. Kapitel I Typblad, kontrollblad, bindemedel och konstruktionstyper för bitumenbundna lager.</w:t>
      </w:r>
      <w:r w:rsidRPr="000A0F49">
        <w:rPr>
          <w:szCs w:val="22"/>
          <w:lang w:val="is-IS"/>
        </w:rPr>
        <w:t xml:space="preserve"> VV Publ 2005:112. Borlänge.</w:t>
      </w:r>
    </w:p>
    <w:p w14:paraId="33D07FCB" w14:textId="77777777" w:rsidR="007C2A78" w:rsidRPr="001C45E6" w:rsidRDefault="007C2A78" w:rsidP="00D15FAD">
      <w:pPr>
        <w:pStyle w:val="Heading1"/>
        <w:rPr>
          <w:lang w:val="is-IS"/>
        </w:rPr>
      </w:pPr>
      <w:bookmarkStart w:id="27" w:name="_Toc52974032"/>
      <w:r w:rsidRPr="001C45E6">
        <w:rPr>
          <w:lang w:val="is-IS"/>
        </w:rPr>
        <w:lastRenderedPageBreak/>
        <w:t>ÞJÖPPUNARKRÖFUR FYRIR MALBIK</w:t>
      </w:r>
      <w:bookmarkEnd w:id="27"/>
    </w:p>
    <w:p w14:paraId="33D07FCC" w14:textId="77777777" w:rsidR="007C2A78" w:rsidRPr="0054726C" w:rsidRDefault="007C2A78" w:rsidP="007C2A78">
      <w:pPr>
        <w:rPr>
          <w:b/>
          <w:sz w:val="24"/>
          <w:szCs w:val="24"/>
          <w:lang w:val="is-IS"/>
        </w:rPr>
      </w:pPr>
    </w:p>
    <w:p w14:paraId="33D07FCD" w14:textId="77777777" w:rsidR="007C2A78" w:rsidRDefault="007C2A78" w:rsidP="007C2A78">
      <w:pPr>
        <w:spacing w:after="60"/>
        <w:jc w:val="both"/>
        <w:rPr>
          <w:lang w:val="is-IS"/>
        </w:rPr>
      </w:pPr>
      <w:r w:rsidRPr="000E73A5">
        <w:rPr>
          <w:lang w:val="is-IS"/>
        </w:rPr>
        <w:t>Hér kemur tvennt til greina</w:t>
      </w:r>
      <w:r>
        <w:rPr>
          <w:lang w:val="is-IS"/>
        </w:rPr>
        <w:t>:</w:t>
      </w:r>
    </w:p>
    <w:p w14:paraId="33D07FCE" w14:textId="77777777" w:rsidR="007C2A78" w:rsidRDefault="007C2A78" w:rsidP="007C2A78">
      <w:pPr>
        <w:numPr>
          <w:ilvl w:val="0"/>
          <w:numId w:val="8"/>
        </w:numPr>
        <w:jc w:val="both"/>
        <w:rPr>
          <w:lang w:val="is-IS"/>
        </w:rPr>
      </w:pPr>
      <w:r>
        <w:rPr>
          <w:lang w:val="is-IS"/>
        </w:rPr>
        <w:t xml:space="preserve">Tiltaka þjöppunarhlutfall, þ.e. rúmþyngd borkjarna úr útlögðu malbiki í % af Marshallrúmþyngd.  </w:t>
      </w:r>
    </w:p>
    <w:p w14:paraId="33D07FCF" w14:textId="77777777" w:rsidR="007C2A78" w:rsidRDefault="007C2A78" w:rsidP="00F423B4">
      <w:pPr>
        <w:numPr>
          <w:ilvl w:val="0"/>
          <w:numId w:val="8"/>
        </w:numPr>
        <w:spacing w:after="60"/>
        <w:ind w:left="714" w:hanging="357"/>
        <w:jc w:val="both"/>
        <w:rPr>
          <w:lang w:val="is-IS"/>
        </w:rPr>
      </w:pPr>
      <w:r>
        <w:rPr>
          <w:lang w:val="is-IS"/>
        </w:rPr>
        <w:t>Tiltaka holrýmd í útlögðu malbiki.</w:t>
      </w:r>
    </w:p>
    <w:p w14:paraId="33D07FD0" w14:textId="77777777" w:rsidR="007C2A78" w:rsidRDefault="007C2A78" w:rsidP="001044F8">
      <w:pPr>
        <w:jc w:val="both"/>
        <w:rPr>
          <w:lang w:val="is-IS"/>
        </w:rPr>
      </w:pPr>
      <w:r>
        <w:rPr>
          <w:lang w:val="is-IS"/>
        </w:rPr>
        <w:t>Fyrrgreinda aðferðin hefur einn augljósan kost. Hún gefur til kynna hversu mikið malbikið (sem þarf ekki endilega að vera nákvæmlega eins og hönnunin segir fyrir um) hefur verið þjappað miðað við þá þjöppun sem hönnunin gerði ráð fyrir að malbikið fengi. Ókosturinn er sá að þessi aðferð er dýr, auk holrýmdarmælinga á borkjarnanum þarf að hita malbikið upp og þjappa það í Marshallhamri til samanburðar ef vel á að vera. Ef malbikslagið er þunnt getur jafnvel þurft nokkra kjarna til að fá nóg efni í samanburðinn. Annar möguleiki er að miða við Marshallrúmþyngd úr hönnunarprófinu. Það er vafasamari aðferð,</w:t>
      </w:r>
      <w:r w:rsidRPr="00C0542B">
        <w:rPr>
          <w:lang w:val="is-IS"/>
        </w:rPr>
        <w:t xml:space="preserve"> </w:t>
      </w:r>
      <w:r>
        <w:rPr>
          <w:lang w:val="is-IS"/>
        </w:rPr>
        <w:t>því útlagða blandan gæti verið eitthvað öðruvísi en hönnunarblandan og það gæti gefið ranga mynd af þjöppuninni og um þessa aðferð gæti orðið ágreiningur.</w:t>
      </w:r>
    </w:p>
    <w:p w14:paraId="33D07FD1" w14:textId="77777777" w:rsidR="007C2A78" w:rsidRDefault="007C2A78" w:rsidP="001044F8">
      <w:pPr>
        <w:ind w:firstLine="340"/>
        <w:jc w:val="both"/>
        <w:rPr>
          <w:lang w:val="is-IS"/>
        </w:rPr>
      </w:pPr>
      <w:r>
        <w:rPr>
          <w:lang w:val="is-IS"/>
        </w:rPr>
        <w:t>Síðarnefnda aðferðin er einfaldari og ódýrari. Gallinn á henni er sá að hún tryggir ekki að malbikið sé vel þjappað, aðeins að holrýmdin sé innan marka. Það er hugsanlegt að lág holrýmd náist með tiltölulega lítilli þjöppun, malbikið getur þess vegna verið laust í sér eftir þjöppun, ef svo má segja, þótt það sé ef til vill langsótt áhyggjuefni.</w:t>
      </w:r>
    </w:p>
    <w:p w14:paraId="33D0808B" w14:textId="6A9DCC4B" w:rsidR="007C2A78" w:rsidRDefault="005E1B30" w:rsidP="00D14E7C">
      <w:pPr>
        <w:ind w:firstLine="340"/>
        <w:jc w:val="both"/>
        <w:rPr>
          <w:sz w:val="24"/>
          <w:szCs w:val="24"/>
          <w:lang w:val="is-IS"/>
        </w:rPr>
      </w:pPr>
      <w:r>
        <w:rPr>
          <w:lang w:val="is-IS"/>
        </w:rPr>
        <w:t>Í Efnisgæðaritinu er gerð krafa um að ≥ 96% rúmþyngd af rúmþyngd fenginni með mælingu strax eftir völtun með geislamæli</w:t>
      </w:r>
      <w:r w:rsidR="00C86643">
        <w:rPr>
          <w:lang w:val="is-IS"/>
        </w:rPr>
        <w:t xml:space="preserve"> eða</w:t>
      </w:r>
      <w:r>
        <w:rPr>
          <w:lang w:val="is-IS"/>
        </w:rPr>
        <w:t xml:space="preserve"> rafsegulbylgjum. Auk þess er gerð krafa um að holrýmd stífmalbiks (AC) sé á bilinu 1,0-4,0%, steinríks malbiks (SMA) á bilinu 1,5-4,5% og burðarlagsmalbiks á bilinu 2,0-7,0%.</w:t>
      </w:r>
    </w:p>
    <w:p w14:paraId="42B34DE9" w14:textId="77777777" w:rsidR="00D14E7C" w:rsidRPr="00D14E7C" w:rsidRDefault="00D14E7C" w:rsidP="00D14E7C">
      <w:pPr>
        <w:ind w:firstLine="340"/>
        <w:jc w:val="both"/>
        <w:rPr>
          <w:sz w:val="24"/>
          <w:szCs w:val="24"/>
          <w:lang w:val="is-IS"/>
        </w:rPr>
      </w:pPr>
    </w:p>
    <w:p w14:paraId="33D0808C" w14:textId="77777777" w:rsidR="00552B76" w:rsidRPr="00D14E7C" w:rsidRDefault="00552B76" w:rsidP="00552B76">
      <w:pPr>
        <w:ind w:firstLine="340"/>
        <w:jc w:val="both"/>
        <w:rPr>
          <w:b/>
          <w:color w:val="FF0000"/>
          <w:lang w:val="is-IS"/>
        </w:rPr>
      </w:pPr>
      <w:r w:rsidRPr="00D14E7C">
        <w:rPr>
          <w:b/>
          <w:color w:val="FF0000"/>
          <w:lang w:val="is-IS"/>
        </w:rPr>
        <w:t>ATHUGASEMD RITSTJÓRNAR Í JANÚAR 2020</w:t>
      </w:r>
    </w:p>
    <w:p w14:paraId="33D0808D" w14:textId="3DE070A5" w:rsidR="00552B76" w:rsidRPr="00D14E7C" w:rsidRDefault="00552B76" w:rsidP="00552B76">
      <w:pPr>
        <w:jc w:val="both"/>
        <w:rPr>
          <w:color w:val="FF0000"/>
          <w:sz w:val="24"/>
          <w:szCs w:val="24"/>
          <w:lang w:val="is-IS"/>
        </w:rPr>
      </w:pPr>
      <w:r w:rsidRPr="00D14E7C">
        <w:rPr>
          <w:color w:val="FF0000"/>
          <w:lang w:val="is-IS"/>
        </w:rPr>
        <w:t>Þessi kafli er talsvert mikið skorinn niður nú. Ástæða þess er að talsvert var vísað í Alverk ´95 varðandi íslenskar kröfur um þjöppun og holrýmd og tiltölulega gamlar heimildir um það sama á Norðurlöndunum. Það skal ítrekað hér að gerð er krafa um að ≥ 96% rúmþyngd af rúmþyngd fenginni með Marshallprófi af sömu uppskrift sé náð. Auk þess er gerð krafa um að holrýmd stífmalbiks (AC) sé á bilinu 1,0-4,0%, steinríks malbiks (SMA) á bilinu 1,5-4,5% og burðarlagsmalbiks á bilinu 2,0-</w:t>
      </w:r>
      <w:r w:rsidR="007A51B5" w:rsidRPr="00D14E7C">
        <w:rPr>
          <w:color w:val="FF0000"/>
          <w:lang w:val="is-IS"/>
        </w:rPr>
        <w:t>6</w:t>
      </w:r>
      <w:r w:rsidRPr="00D14E7C">
        <w:rPr>
          <w:color w:val="FF0000"/>
          <w:lang w:val="is-IS"/>
        </w:rPr>
        <w:t>,0%.</w:t>
      </w:r>
      <w:r w:rsidR="005E1B30" w:rsidRPr="00D14E7C">
        <w:rPr>
          <w:color w:val="FF0000"/>
          <w:lang w:val="is-IS"/>
        </w:rPr>
        <w:t xml:space="preserve"> Það að fjalla um gamlar og að mestu leyti úreltar kröfur um rúmþyngd og holrýmd malbiks gæti ruglað lesandann í ríminu og því ekki talið til bóta að hafa það með. Hinsvegar má benda á</w:t>
      </w:r>
      <w:r w:rsidR="00C92BA6" w:rsidRPr="00D14E7C">
        <w:rPr>
          <w:color w:val="FF0000"/>
          <w:lang w:val="is-IS"/>
        </w:rPr>
        <w:t xml:space="preserve"> að</w:t>
      </w:r>
      <w:r w:rsidR="005E1B30" w:rsidRPr="00D14E7C">
        <w:rPr>
          <w:color w:val="FF0000"/>
          <w:lang w:val="is-IS"/>
        </w:rPr>
        <w:t xml:space="preserve"> </w:t>
      </w:r>
      <w:r w:rsidR="008A1453" w:rsidRPr="00D14E7C">
        <w:rPr>
          <w:color w:val="FF0000"/>
          <w:lang w:val="is-IS"/>
        </w:rPr>
        <w:t>öllu</w:t>
      </w:r>
      <w:r w:rsidR="00C92BA6" w:rsidRPr="00D14E7C">
        <w:rPr>
          <w:color w:val="FF0000"/>
          <w:lang w:val="is-IS"/>
        </w:rPr>
        <w:t>m heimildum sem vísað e</w:t>
      </w:r>
      <w:r w:rsidR="008A1453" w:rsidRPr="00D14E7C">
        <w:rPr>
          <w:color w:val="FF0000"/>
          <w:lang w:val="is-IS"/>
        </w:rPr>
        <w:t>r í er haldið óbreyttum í heimildalista hvers kafla</w:t>
      </w:r>
      <w:r w:rsidR="00C92BA6" w:rsidRPr="00D14E7C">
        <w:rPr>
          <w:color w:val="FF0000"/>
          <w:lang w:val="is-IS"/>
        </w:rPr>
        <w:t xml:space="preserve"> í öllum þessum viðauka</w:t>
      </w:r>
      <w:r w:rsidR="008A1453" w:rsidRPr="00D14E7C">
        <w:rPr>
          <w:color w:val="FF0000"/>
          <w:lang w:val="is-IS"/>
        </w:rPr>
        <w:t>.</w:t>
      </w:r>
    </w:p>
    <w:p w14:paraId="33D0808E" w14:textId="77777777" w:rsidR="001044F8" w:rsidRDefault="001044F8" w:rsidP="00E57041">
      <w:pPr>
        <w:spacing w:after="60"/>
        <w:rPr>
          <w:b/>
          <w:sz w:val="24"/>
          <w:szCs w:val="24"/>
          <w:lang w:val="is-IS"/>
        </w:rPr>
      </w:pPr>
    </w:p>
    <w:p w14:paraId="33D0808F" w14:textId="77777777" w:rsidR="007C2A78" w:rsidRPr="007C2A78" w:rsidRDefault="007C2A78" w:rsidP="00E57041">
      <w:pPr>
        <w:spacing w:after="60"/>
        <w:rPr>
          <w:b/>
          <w:sz w:val="24"/>
          <w:szCs w:val="24"/>
          <w:lang w:val="is-IS"/>
        </w:rPr>
      </w:pPr>
      <w:r w:rsidRPr="007C2A78">
        <w:rPr>
          <w:b/>
          <w:sz w:val="24"/>
          <w:szCs w:val="24"/>
          <w:lang w:val="is-IS"/>
        </w:rPr>
        <w:t>HEIMILDIR</w:t>
      </w:r>
    </w:p>
    <w:p w14:paraId="33D08090" w14:textId="77E023C7" w:rsidR="007C2A78" w:rsidRPr="002730EB" w:rsidRDefault="007C2A78" w:rsidP="007C2A78">
      <w:pPr>
        <w:ind w:left="340" w:hanging="340"/>
        <w:jc w:val="both"/>
        <w:rPr>
          <w:lang w:val="is-IS"/>
        </w:rPr>
      </w:pPr>
      <w:r>
        <w:rPr>
          <w:lang w:val="is-IS"/>
        </w:rPr>
        <w:t xml:space="preserve">Alverk ’95. 1995. </w:t>
      </w:r>
      <w:r w:rsidRPr="00AE293A">
        <w:rPr>
          <w:i/>
          <w:lang w:val="is-IS"/>
        </w:rPr>
        <w:t>Almenn verklýsing</w:t>
      </w:r>
      <w:r w:rsidR="00C96315">
        <w:rPr>
          <w:i/>
          <w:lang w:val="is-IS"/>
        </w:rPr>
        <w:t xml:space="preserve"> </w:t>
      </w:r>
      <w:r w:rsidRPr="00AE293A">
        <w:rPr>
          <w:i/>
          <w:lang w:val="is-IS"/>
        </w:rPr>
        <w:t>fyrir vega- og brúargerð.</w:t>
      </w:r>
      <w:r>
        <w:rPr>
          <w:lang w:val="is-IS"/>
        </w:rPr>
        <w:t xml:space="preserve"> Vegagerðin. Reykjavík.</w:t>
      </w:r>
    </w:p>
    <w:p w14:paraId="33D08091" w14:textId="77777777" w:rsidR="007C2A78" w:rsidRPr="009C1A2E" w:rsidRDefault="007C2A78" w:rsidP="007C2A78">
      <w:pPr>
        <w:ind w:left="342" w:hanging="342"/>
        <w:jc w:val="both"/>
        <w:rPr>
          <w:lang w:val="is-IS"/>
        </w:rPr>
      </w:pPr>
      <w:r>
        <w:rPr>
          <w:lang w:val="is-IS"/>
        </w:rPr>
        <w:t xml:space="preserve">Ásbjörn Jóhannesson, Sigursteinn Hjartarson og Valur Guðmundsson. 2000. </w:t>
      </w:r>
      <w:r w:rsidRPr="00782C94">
        <w:rPr>
          <w:i/>
          <w:lang w:val="is-IS"/>
        </w:rPr>
        <w:t>Endurskoðun á markalínum fyrir malbik – lokaskýrsla.</w:t>
      </w:r>
      <w:r>
        <w:rPr>
          <w:lang w:val="is-IS"/>
        </w:rPr>
        <w:t xml:space="preserve"> BUSL – Slitlaganefnd. Skýrsla S-16.    </w:t>
      </w:r>
    </w:p>
    <w:p w14:paraId="33D08092" w14:textId="77777777" w:rsidR="007C2A78" w:rsidRPr="000B78D7" w:rsidRDefault="007C2A78" w:rsidP="007C2A78">
      <w:pPr>
        <w:ind w:left="340" w:hanging="340"/>
        <w:jc w:val="both"/>
        <w:rPr>
          <w:color w:val="FF0000"/>
          <w:szCs w:val="22"/>
          <w:lang w:val="is-IS"/>
        </w:rPr>
      </w:pPr>
      <w:r>
        <w:rPr>
          <w:szCs w:val="22"/>
          <w:lang w:val="is-IS"/>
        </w:rPr>
        <w:t xml:space="preserve">PANK. 2000. </w:t>
      </w:r>
      <w:r w:rsidRPr="00683450">
        <w:rPr>
          <w:i/>
          <w:szCs w:val="22"/>
          <w:lang w:val="is-IS"/>
        </w:rPr>
        <w:t>Finnish Asphalt Specifications 2000.</w:t>
      </w:r>
      <w:r>
        <w:rPr>
          <w:szCs w:val="22"/>
          <w:lang w:val="is-IS"/>
        </w:rPr>
        <w:t xml:space="preserve"> Finnish Pavement Technology Advisory Council. Helsinki. </w:t>
      </w:r>
    </w:p>
    <w:p w14:paraId="33D08093" w14:textId="77777777" w:rsidR="007C2A78" w:rsidRPr="009D2FE7" w:rsidRDefault="007C2A78" w:rsidP="007C2A78">
      <w:pPr>
        <w:ind w:left="340" w:hanging="340"/>
        <w:jc w:val="both"/>
        <w:rPr>
          <w:szCs w:val="22"/>
          <w:lang w:val="is-IS"/>
        </w:rPr>
      </w:pPr>
      <w:r w:rsidRPr="009D2FE7">
        <w:rPr>
          <w:szCs w:val="22"/>
          <w:lang w:val="is-IS"/>
        </w:rPr>
        <w:t xml:space="preserve">Statens vegvesen. 2005. </w:t>
      </w:r>
      <w:r w:rsidRPr="009D2FE7">
        <w:rPr>
          <w:i/>
          <w:szCs w:val="22"/>
          <w:lang w:val="is-IS"/>
        </w:rPr>
        <w:t>Håndbok 018 Vegbygging.</w:t>
      </w:r>
      <w:r w:rsidRPr="009D2FE7">
        <w:rPr>
          <w:szCs w:val="22"/>
          <w:lang w:val="is-IS"/>
        </w:rPr>
        <w:t xml:space="preserve"> Statens vegvesen. Oslo.</w:t>
      </w:r>
    </w:p>
    <w:p w14:paraId="33D08094" w14:textId="77777777" w:rsidR="007C2A78" w:rsidRPr="009D2FE7" w:rsidRDefault="007C2A78" w:rsidP="007C2A78">
      <w:pPr>
        <w:ind w:left="340" w:hanging="340"/>
        <w:jc w:val="both"/>
        <w:rPr>
          <w:szCs w:val="22"/>
          <w:lang w:val="is-IS"/>
        </w:rPr>
      </w:pPr>
      <w:r w:rsidRPr="009D2FE7">
        <w:rPr>
          <w:szCs w:val="22"/>
          <w:lang w:val="is-IS"/>
        </w:rPr>
        <w:t xml:space="preserve">Vägverket. 2005. </w:t>
      </w:r>
      <w:r w:rsidRPr="009D2FE7">
        <w:rPr>
          <w:i/>
          <w:szCs w:val="22"/>
          <w:lang w:val="is-IS"/>
        </w:rPr>
        <w:t>ATB VÄG 2005. Kapitel I Typblad, kontrollblad, bindemedel och konstruktionstyper för bitumenbundna lager.</w:t>
      </w:r>
      <w:r w:rsidRPr="009D2FE7">
        <w:rPr>
          <w:szCs w:val="22"/>
          <w:lang w:val="is-IS"/>
        </w:rPr>
        <w:t xml:space="preserve"> VV Publ 2005:112. Borlänge.</w:t>
      </w:r>
    </w:p>
    <w:p w14:paraId="33D08095" w14:textId="77777777" w:rsidR="007C2A78" w:rsidRPr="00F40D93" w:rsidRDefault="007C2A78" w:rsidP="007C2A78">
      <w:pPr>
        <w:rPr>
          <w:sz w:val="20"/>
          <w:lang w:val="is-IS"/>
        </w:rPr>
      </w:pPr>
    </w:p>
    <w:p w14:paraId="33D0809D" w14:textId="77777777" w:rsidR="00962F11" w:rsidRPr="001C45E6" w:rsidRDefault="00962F11" w:rsidP="00D15FAD">
      <w:pPr>
        <w:pStyle w:val="Heading1"/>
        <w:rPr>
          <w:lang w:val="is-IS"/>
        </w:rPr>
      </w:pPr>
      <w:bookmarkStart w:id="28" w:name="_Toc52974033"/>
      <w:r w:rsidRPr="001C45E6">
        <w:rPr>
          <w:lang w:val="is-IS"/>
        </w:rPr>
        <w:t>HOLRÝMD Í STEINEFNI OG FYLLT HOLRÝMD</w:t>
      </w:r>
      <w:bookmarkEnd w:id="28"/>
      <w:r w:rsidRPr="001C45E6">
        <w:rPr>
          <w:lang w:val="is-IS"/>
        </w:rPr>
        <w:t xml:space="preserve"> </w:t>
      </w:r>
    </w:p>
    <w:p w14:paraId="33D0809E" w14:textId="77777777" w:rsidR="00962F11" w:rsidRPr="0054726C" w:rsidRDefault="00962F11" w:rsidP="00962F11">
      <w:pPr>
        <w:rPr>
          <w:sz w:val="24"/>
          <w:szCs w:val="24"/>
          <w:lang w:val="is-IS"/>
        </w:rPr>
      </w:pPr>
    </w:p>
    <w:p w14:paraId="33D0809F" w14:textId="77777777" w:rsidR="00962F11" w:rsidRDefault="00962F11" w:rsidP="00962F11">
      <w:pPr>
        <w:jc w:val="both"/>
        <w:rPr>
          <w:lang w:val="is-IS"/>
        </w:rPr>
      </w:pPr>
      <w:r>
        <w:rPr>
          <w:lang w:val="is-IS"/>
        </w:rPr>
        <w:t xml:space="preserve">Með </w:t>
      </w:r>
      <w:r w:rsidRPr="003F3598">
        <w:rPr>
          <w:i/>
          <w:lang w:val="is-IS"/>
        </w:rPr>
        <w:t>holrýmd í steinefni</w:t>
      </w:r>
      <w:r>
        <w:rPr>
          <w:lang w:val="is-IS"/>
        </w:rPr>
        <w:t xml:space="preserve"> er átt við þann hluta af rúmmáli þjappaðrar malbiksblöndu sem steinefnið fyllir ekki, með öðrum orðum er hún sá rúmmálshluti malbiksblöndunnar sem er bindiefni og loft. Holrýmd í steinefni breytist með hámarkskornastærð blöndunnar, þjöppun malbiksins og að nokkru leyti bindiefnisinnihaldi og öðrum stikum, svo sem lögun steinefnis. </w:t>
      </w:r>
    </w:p>
    <w:p w14:paraId="33D080A0" w14:textId="77777777" w:rsidR="00962F11" w:rsidRDefault="00962F11" w:rsidP="00962F11">
      <w:pPr>
        <w:ind w:firstLine="340"/>
        <w:jc w:val="both"/>
        <w:rPr>
          <w:lang w:val="is-IS"/>
        </w:rPr>
      </w:pPr>
      <w:r>
        <w:rPr>
          <w:lang w:val="is-IS"/>
        </w:rPr>
        <w:lastRenderedPageBreak/>
        <w:t xml:space="preserve">Annað nátengt hugtak er </w:t>
      </w:r>
      <w:r w:rsidRPr="003F3598">
        <w:rPr>
          <w:i/>
          <w:lang w:val="is-IS"/>
        </w:rPr>
        <w:t>fyllt holrýmd</w:t>
      </w:r>
      <w:r>
        <w:rPr>
          <w:lang w:val="is-IS"/>
        </w:rPr>
        <w:t xml:space="preserve">. Með fylltri holrýmd er átt við þann hluta af holrýmd í steinefni sem er fylltur með bindiefni. Það sem eftir stendur er þá holrýmd í malbiki, sem </w:t>
      </w:r>
      <w:r w:rsidR="00443091">
        <w:rPr>
          <w:lang w:val="is-IS"/>
        </w:rPr>
        <w:t xml:space="preserve">í </w:t>
      </w:r>
      <w:r>
        <w:rPr>
          <w:lang w:val="is-IS"/>
        </w:rPr>
        <w:t>dagleg</w:t>
      </w:r>
      <w:r w:rsidR="00443091">
        <w:rPr>
          <w:lang w:val="is-IS"/>
        </w:rPr>
        <w:t>u tali</w:t>
      </w:r>
      <w:r>
        <w:rPr>
          <w:lang w:val="is-IS"/>
        </w:rPr>
        <w:t xml:space="preserve"> er stytt í </w:t>
      </w:r>
      <w:r w:rsidRPr="003F3598">
        <w:rPr>
          <w:i/>
          <w:lang w:val="is-IS"/>
        </w:rPr>
        <w:t>holrýmd</w:t>
      </w:r>
      <w:r>
        <w:rPr>
          <w:lang w:val="is-IS"/>
        </w:rPr>
        <w:t xml:space="preserve">.   </w:t>
      </w:r>
    </w:p>
    <w:p w14:paraId="33D080A1" w14:textId="4154BE15" w:rsidR="00962F11" w:rsidRDefault="00962F11" w:rsidP="00962F11">
      <w:pPr>
        <w:ind w:firstLine="340"/>
        <w:jc w:val="both"/>
        <w:rPr>
          <w:lang w:val="is-IS"/>
        </w:rPr>
      </w:pPr>
      <w:r>
        <w:rPr>
          <w:lang w:val="is-IS"/>
        </w:rPr>
        <w:t>Ef sáldurferillinn er einskorna eða sérstaklega óheppilegur í lögun getur holrýmd í steinefni farið allt upp í 30%.</w:t>
      </w:r>
      <w:r w:rsidRPr="00997792">
        <w:rPr>
          <w:lang w:val="is-IS"/>
        </w:rPr>
        <w:t xml:space="preserve"> </w:t>
      </w:r>
      <w:r>
        <w:rPr>
          <w:lang w:val="is-IS"/>
        </w:rPr>
        <w:t xml:space="preserve">Ef méluinnihaldið er fram úr hófi hátt í annars grófum sáldurferli, getur holrýmd í steinefni á hinn bóginn farið niður fyrir 10%. Hæfileg holrýmd í steinefni er alla jafna á bilinu 14-20%, 15-18% er algengt í </w:t>
      </w:r>
      <w:r w:rsidR="008A1453">
        <w:rPr>
          <w:lang w:val="is-IS"/>
        </w:rPr>
        <w:t>AC</w:t>
      </w:r>
      <w:r>
        <w:rPr>
          <w:lang w:val="is-IS"/>
        </w:rPr>
        <w:t xml:space="preserve"> 16</w:t>
      </w:r>
      <w:r w:rsidR="008A1453">
        <w:rPr>
          <w:lang w:val="is-IS"/>
        </w:rPr>
        <w:t xml:space="preserve"> stífmalbiki</w:t>
      </w:r>
      <w:r>
        <w:rPr>
          <w:lang w:val="is-IS"/>
        </w:rPr>
        <w:t xml:space="preserve">. Að jafnaði er reynt að halda holrýmd í steinefni eins lágri og kostur er, þó þannig að þar verði rúm fyrir nægilegt bindiefni og lágmarks holrýmd </w:t>
      </w:r>
      <w:r w:rsidR="00443091">
        <w:rPr>
          <w:lang w:val="is-IS"/>
        </w:rPr>
        <w:t>[</w:t>
      </w:r>
      <w:r>
        <w:rPr>
          <w:lang w:val="is-IS"/>
        </w:rPr>
        <w:t>Wallace 1967, bls. 67</w:t>
      </w:r>
      <w:r w:rsidR="00443091">
        <w:rPr>
          <w:lang w:val="is-IS"/>
        </w:rPr>
        <w:t>]</w:t>
      </w:r>
      <w:r>
        <w:rPr>
          <w:lang w:val="is-IS"/>
        </w:rPr>
        <w:t xml:space="preserve">. Þreytuþol malbiks eykst að jafnaði með lækkandi holrýmd í steinefni, sömuleiðis mótstaðan gegn skriði </w:t>
      </w:r>
      <w:r w:rsidR="00443091">
        <w:rPr>
          <w:lang w:val="is-IS"/>
        </w:rPr>
        <w:t>[</w:t>
      </w:r>
      <w:r>
        <w:rPr>
          <w:lang w:val="is-IS"/>
        </w:rPr>
        <w:t>Hilliges 1995, bls. 176</w:t>
      </w:r>
      <w:r w:rsidR="00443091">
        <w:rPr>
          <w:lang w:val="is-IS"/>
        </w:rPr>
        <w:t>]</w:t>
      </w:r>
      <w:r>
        <w:rPr>
          <w:lang w:val="is-IS"/>
        </w:rPr>
        <w:t>. Í verklýsingum er</w:t>
      </w:r>
      <w:r w:rsidR="00577261">
        <w:rPr>
          <w:lang w:val="is-IS"/>
        </w:rPr>
        <w:t>u</w:t>
      </w:r>
      <w:r>
        <w:rPr>
          <w:lang w:val="is-IS"/>
        </w:rPr>
        <w:t xml:space="preserve"> að jafnaði ekki gerðar kröfur til holrýmdar í steinefni, heldur tilgreind leiðbeinandi gildi. Norskar og sænskar verklýsingar </w:t>
      </w:r>
      <w:r w:rsidR="00443091">
        <w:rPr>
          <w:lang w:val="is-IS"/>
        </w:rPr>
        <w:t>[</w:t>
      </w:r>
      <w:r w:rsidRPr="006E1857">
        <w:rPr>
          <w:lang w:val="is-IS"/>
        </w:rPr>
        <w:t>Statens vegvesen 2005</w:t>
      </w:r>
      <w:r>
        <w:rPr>
          <w:lang w:val="is-IS"/>
        </w:rPr>
        <w:t xml:space="preserve">, </w:t>
      </w:r>
      <w:r w:rsidRPr="006E1857">
        <w:rPr>
          <w:szCs w:val="22"/>
          <w:lang w:val="is-IS"/>
        </w:rPr>
        <w:t>Vägverket 2005</w:t>
      </w:r>
      <w:r w:rsidR="00443091">
        <w:rPr>
          <w:szCs w:val="22"/>
          <w:lang w:val="is-IS"/>
        </w:rPr>
        <w:t>]</w:t>
      </w:r>
      <w:r>
        <w:rPr>
          <w:szCs w:val="22"/>
          <w:lang w:val="is-IS"/>
        </w:rPr>
        <w:t xml:space="preserve"> </w:t>
      </w:r>
      <w:r>
        <w:rPr>
          <w:lang w:val="is-IS"/>
        </w:rPr>
        <w:t xml:space="preserve">hafa til dæmis engin ákvæði um holrýmd í steinefni. Í finnskum verklýsingum </w:t>
      </w:r>
      <w:r w:rsidR="00443091">
        <w:rPr>
          <w:lang w:val="is-IS"/>
        </w:rPr>
        <w:t>[</w:t>
      </w:r>
      <w:r w:rsidRPr="006E1857">
        <w:rPr>
          <w:lang w:val="is-IS"/>
        </w:rPr>
        <w:t>PANK</w:t>
      </w:r>
      <w:r w:rsidR="00443091">
        <w:rPr>
          <w:lang w:val="is-IS"/>
        </w:rPr>
        <w:t xml:space="preserve"> 2000</w:t>
      </w:r>
      <w:r>
        <w:rPr>
          <w:lang w:val="is-IS"/>
        </w:rPr>
        <w:t xml:space="preserve">, bls. </w:t>
      </w:r>
      <w:r w:rsidR="00443091">
        <w:rPr>
          <w:lang w:val="is-IS"/>
        </w:rPr>
        <w:t>6</w:t>
      </w:r>
      <w:r>
        <w:rPr>
          <w:lang w:val="is-IS"/>
        </w:rPr>
        <w:t>2</w:t>
      </w:r>
      <w:r w:rsidR="00443091">
        <w:rPr>
          <w:lang w:val="is-IS"/>
        </w:rPr>
        <w:t>]</w:t>
      </w:r>
      <w:r>
        <w:rPr>
          <w:lang w:val="is-IS"/>
        </w:rPr>
        <w:t xml:space="preserve"> eru hins vegar tilgreind leiðbeinandi mörk, 13-17% í </w:t>
      </w:r>
      <w:r w:rsidR="00A54DB3">
        <w:rPr>
          <w:lang w:val="is-IS"/>
        </w:rPr>
        <w:t>stífmalbiki (</w:t>
      </w:r>
      <w:r w:rsidR="00443091">
        <w:rPr>
          <w:lang w:val="is-IS"/>
        </w:rPr>
        <w:t>AC</w:t>
      </w:r>
      <w:r w:rsidR="00A54DB3">
        <w:rPr>
          <w:lang w:val="is-IS"/>
        </w:rPr>
        <w:t>)</w:t>
      </w:r>
      <w:r w:rsidR="00443091">
        <w:rPr>
          <w:lang w:val="is-IS"/>
        </w:rPr>
        <w:t xml:space="preserve"> og</w:t>
      </w:r>
      <w:r>
        <w:rPr>
          <w:lang w:val="is-IS"/>
        </w:rPr>
        <w:t xml:space="preserve"> 16-20% í</w:t>
      </w:r>
      <w:r w:rsidR="00A54DB3">
        <w:rPr>
          <w:lang w:val="is-IS"/>
        </w:rPr>
        <w:t xml:space="preserve"> steinríku malbiki</w:t>
      </w:r>
      <w:r>
        <w:rPr>
          <w:lang w:val="is-IS"/>
        </w:rPr>
        <w:t xml:space="preserve"> </w:t>
      </w:r>
      <w:r w:rsidR="00A54DB3">
        <w:rPr>
          <w:lang w:val="is-IS"/>
        </w:rPr>
        <w:t>(</w:t>
      </w:r>
      <w:r>
        <w:rPr>
          <w:lang w:val="is-IS"/>
        </w:rPr>
        <w:t>SMA</w:t>
      </w:r>
      <w:r w:rsidR="00A54DB3">
        <w:rPr>
          <w:lang w:val="is-IS"/>
        </w:rPr>
        <w:t>)</w:t>
      </w:r>
      <w:r>
        <w:rPr>
          <w:lang w:val="is-IS"/>
        </w:rPr>
        <w:t xml:space="preserve">. Í amerískum leiðbeiningabæklingi </w:t>
      </w:r>
      <w:r w:rsidR="00443091">
        <w:rPr>
          <w:lang w:val="is-IS"/>
        </w:rPr>
        <w:t>[</w:t>
      </w:r>
      <w:r>
        <w:rPr>
          <w:lang w:val="is-IS"/>
        </w:rPr>
        <w:t>Asphalt Institute 1984, bls</w:t>
      </w:r>
      <w:r w:rsidR="00443091">
        <w:rPr>
          <w:lang w:val="is-IS"/>
        </w:rPr>
        <w:t>.</w:t>
      </w:r>
      <w:r>
        <w:rPr>
          <w:lang w:val="is-IS"/>
        </w:rPr>
        <w:t xml:space="preserve"> 32</w:t>
      </w:r>
      <w:r w:rsidR="00443091">
        <w:rPr>
          <w:lang w:val="is-IS"/>
        </w:rPr>
        <w:t>]</w:t>
      </w:r>
      <w:r>
        <w:rPr>
          <w:lang w:val="is-IS"/>
        </w:rPr>
        <w:t xml:space="preserve"> er varað við því að holrýmd í steinefni fari niður fyrir ákveðið lágmark, sem er fall af </w:t>
      </w:r>
      <w:r w:rsidR="00183D3E">
        <w:rPr>
          <w:lang w:val="is-IS"/>
        </w:rPr>
        <w:t>efri flokkunarstærð</w:t>
      </w:r>
      <w:r>
        <w:rPr>
          <w:lang w:val="is-IS"/>
        </w:rPr>
        <w:t xml:space="preserve"> malbiksins. Fyrir </w:t>
      </w:r>
      <w:r w:rsidR="00577261">
        <w:rPr>
          <w:lang w:val="is-IS"/>
        </w:rPr>
        <w:t xml:space="preserve">malbik með efri flokkunarstærð </w:t>
      </w:r>
      <w:r>
        <w:rPr>
          <w:lang w:val="is-IS"/>
        </w:rPr>
        <w:t xml:space="preserve">16 </w:t>
      </w:r>
      <w:r w:rsidR="00577261">
        <w:rPr>
          <w:lang w:val="is-IS"/>
        </w:rPr>
        <w:t xml:space="preserve">mm </w:t>
      </w:r>
      <w:r>
        <w:rPr>
          <w:lang w:val="is-IS"/>
        </w:rPr>
        <w:t>er þetta lágmark 13-14%.</w:t>
      </w:r>
    </w:p>
    <w:p w14:paraId="33D080A2" w14:textId="77777777" w:rsidR="00962F11" w:rsidRDefault="00962F11" w:rsidP="00962F11">
      <w:pPr>
        <w:ind w:firstLine="340"/>
        <w:jc w:val="both"/>
        <w:rPr>
          <w:lang w:val="is-IS"/>
        </w:rPr>
      </w:pPr>
      <w:r>
        <w:rPr>
          <w:lang w:val="is-IS"/>
        </w:rPr>
        <w:t xml:space="preserve">Holrýmd í steinefni þarf að fylla að mestu með bindiefni, þó ekki að fullu, því þá er hætta á að bindiefnið pressist upp á yfirborðið í hitum, slitlagið verði hált og skríði undir þungri umferð. Á hinn bóginn þarf að fylla nægilega mikið af holrýmdinni í steinefninu með bindiefni til að slitlagið verði vatnsþétt, með öðrum orðum; svo að holrýmd í malbiki verði hæfileg. </w:t>
      </w:r>
    </w:p>
    <w:p w14:paraId="33D080A3" w14:textId="07FBDD8D" w:rsidR="00962F11" w:rsidRDefault="00962F11" w:rsidP="00962F11">
      <w:pPr>
        <w:ind w:firstLine="340"/>
        <w:jc w:val="both"/>
        <w:rPr>
          <w:lang w:val="is-IS"/>
        </w:rPr>
      </w:pPr>
      <w:r>
        <w:rPr>
          <w:lang w:val="is-IS"/>
        </w:rPr>
        <w:t xml:space="preserve">Heppileg fyllt holrýmd er oft á bilinu 75-85%; fyrir sumar slitlagsgerðir eru efri mörkin stundum höfð hærri </w:t>
      </w:r>
      <w:r w:rsidR="00577261">
        <w:rPr>
          <w:lang w:val="is-IS"/>
        </w:rPr>
        <w:t>[</w:t>
      </w:r>
      <w:r>
        <w:rPr>
          <w:lang w:val="is-IS"/>
        </w:rPr>
        <w:t>Hilliges 1995, bls. 176</w:t>
      </w:r>
      <w:r w:rsidR="00577261">
        <w:rPr>
          <w:lang w:val="is-IS"/>
        </w:rPr>
        <w:t>]</w:t>
      </w:r>
      <w:r>
        <w:rPr>
          <w:lang w:val="is-IS"/>
        </w:rPr>
        <w:t xml:space="preserve">. Norskar verklýsingar </w:t>
      </w:r>
      <w:r w:rsidR="00577261">
        <w:rPr>
          <w:lang w:val="is-IS"/>
        </w:rPr>
        <w:t>[</w:t>
      </w:r>
      <w:r w:rsidRPr="006E1857">
        <w:rPr>
          <w:lang w:val="is-IS"/>
        </w:rPr>
        <w:t>Statens vegvesen 2005</w:t>
      </w:r>
      <w:r>
        <w:rPr>
          <w:lang w:val="is-IS"/>
        </w:rPr>
        <w:t>, bls. 283-284</w:t>
      </w:r>
      <w:r w:rsidR="00577261">
        <w:rPr>
          <w:lang w:val="is-IS"/>
        </w:rPr>
        <w:t>]</w:t>
      </w:r>
      <w:r>
        <w:rPr>
          <w:lang w:val="is-IS"/>
        </w:rPr>
        <w:t xml:space="preserve"> gera kröfu um að fyllt holrýmd í slitlagi (þjöppun 2 x 75 högg í Marshallprófi) sé á bilinu 75-90% ef umferðin er undir 5000 ÁDU, annars 70-85%. Í burðarlagi á fyllt holrýmd að vera ≥ 45% (sama heimild bls. 218). Finnskar verklýsingar </w:t>
      </w:r>
      <w:r w:rsidR="00577261">
        <w:rPr>
          <w:lang w:val="is-IS"/>
        </w:rPr>
        <w:t>[</w:t>
      </w:r>
      <w:r w:rsidRPr="006E1857">
        <w:rPr>
          <w:lang w:val="is-IS"/>
        </w:rPr>
        <w:t xml:space="preserve">PANK </w:t>
      </w:r>
      <w:r w:rsidR="00577261">
        <w:rPr>
          <w:lang w:val="is-IS"/>
        </w:rPr>
        <w:t>2000</w:t>
      </w:r>
      <w:r>
        <w:rPr>
          <w:lang w:val="is-IS"/>
        </w:rPr>
        <w:t xml:space="preserve">, bls. </w:t>
      </w:r>
      <w:r w:rsidR="00577261">
        <w:rPr>
          <w:lang w:val="is-IS"/>
        </w:rPr>
        <w:t>6</w:t>
      </w:r>
      <w:r>
        <w:rPr>
          <w:lang w:val="is-IS"/>
        </w:rPr>
        <w:t>2) hafa leiðbeinandi gild</w:t>
      </w:r>
      <w:r w:rsidR="00577261">
        <w:rPr>
          <w:lang w:val="is-IS"/>
        </w:rPr>
        <w:t>i fyrir fyllta holrýmd; 80-90%</w:t>
      </w:r>
      <w:r>
        <w:rPr>
          <w:lang w:val="is-IS"/>
        </w:rPr>
        <w:t xml:space="preserve"> </w:t>
      </w:r>
      <w:r w:rsidR="00577261">
        <w:rPr>
          <w:lang w:val="is-IS"/>
        </w:rPr>
        <w:t>fyrir</w:t>
      </w:r>
      <w:r>
        <w:rPr>
          <w:lang w:val="is-IS"/>
        </w:rPr>
        <w:t xml:space="preserve"> slitlag </w:t>
      </w:r>
      <w:r w:rsidR="00577261">
        <w:rPr>
          <w:lang w:val="is-IS"/>
        </w:rPr>
        <w:t>og bindilag en 70-80% fyrir</w:t>
      </w:r>
      <w:r>
        <w:rPr>
          <w:lang w:val="is-IS"/>
        </w:rPr>
        <w:t xml:space="preserve"> burðarlag</w:t>
      </w:r>
      <w:r w:rsidR="00577261">
        <w:rPr>
          <w:lang w:val="is-IS"/>
        </w:rPr>
        <w:t>.</w:t>
      </w:r>
      <w:r>
        <w:rPr>
          <w:lang w:val="is-IS"/>
        </w:rPr>
        <w:t xml:space="preserve"> </w:t>
      </w:r>
      <w:r w:rsidR="00577261">
        <w:rPr>
          <w:lang w:val="is-IS"/>
        </w:rPr>
        <w:t>K</w:t>
      </w:r>
      <w:r>
        <w:rPr>
          <w:lang w:val="is-IS"/>
        </w:rPr>
        <w:t xml:space="preserve">eppikeflið er </w:t>
      </w:r>
      <w:r w:rsidR="00577261">
        <w:rPr>
          <w:lang w:val="is-IS"/>
        </w:rPr>
        <w:t>að fyllt holrýmd sé mitt á milli markanna</w:t>
      </w:r>
      <w:r>
        <w:rPr>
          <w:lang w:val="is-IS"/>
        </w:rPr>
        <w:t xml:space="preserve">. Sænskar verklýsingar </w:t>
      </w:r>
      <w:r w:rsidR="00577261">
        <w:rPr>
          <w:lang w:val="is-IS"/>
        </w:rPr>
        <w:t>[</w:t>
      </w:r>
      <w:r w:rsidRPr="006E1857">
        <w:rPr>
          <w:szCs w:val="22"/>
          <w:lang w:val="is-IS"/>
        </w:rPr>
        <w:t>Vägverket 2005</w:t>
      </w:r>
      <w:r w:rsidR="00577261">
        <w:rPr>
          <w:szCs w:val="22"/>
          <w:lang w:val="is-IS"/>
        </w:rPr>
        <w:t>]</w:t>
      </w:r>
      <w:r>
        <w:rPr>
          <w:szCs w:val="22"/>
          <w:lang w:val="is-IS"/>
        </w:rPr>
        <w:t xml:space="preserve"> </w:t>
      </w:r>
      <w:r>
        <w:rPr>
          <w:lang w:val="is-IS"/>
        </w:rPr>
        <w:t>hafa engin ákvæði um fyllta holrýmd.</w:t>
      </w:r>
    </w:p>
    <w:p w14:paraId="33D080A4" w14:textId="77777777" w:rsidR="00962F11" w:rsidRDefault="00962F11" w:rsidP="00962F11">
      <w:pPr>
        <w:spacing w:after="60"/>
        <w:jc w:val="both"/>
        <w:rPr>
          <w:b/>
          <w:lang w:val="is-IS"/>
        </w:rPr>
      </w:pPr>
    </w:p>
    <w:p w14:paraId="33D080A5" w14:textId="77777777" w:rsidR="008A1453" w:rsidRPr="002911C1" w:rsidRDefault="008A1453" w:rsidP="008A1453">
      <w:pPr>
        <w:ind w:firstLine="340"/>
        <w:jc w:val="both"/>
        <w:rPr>
          <w:b/>
          <w:color w:val="FF0000"/>
          <w:lang w:val="is-IS"/>
        </w:rPr>
      </w:pPr>
      <w:r w:rsidRPr="002911C1">
        <w:rPr>
          <w:b/>
          <w:color w:val="FF0000"/>
          <w:lang w:val="is-IS"/>
        </w:rPr>
        <w:t>ATHUGASEMD RITSTJÓRNAR Í JANÚAR 2020</w:t>
      </w:r>
    </w:p>
    <w:p w14:paraId="33D080A6" w14:textId="5B835FB2" w:rsidR="00577261" w:rsidRPr="002911C1" w:rsidRDefault="00A54DB3" w:rsidP="00962F11">
      <w:pPr>
        <w:spacing w:after="60"/>
        <w:jc w:val="both"/>
        <w:rPr>
          <w:color w:val="FF0000"/>
        </w:rPr>
      </w:pPr>
      <w:r w:rsidRPr="002911C1">
        <w:rPr>
          <w:color w:val="FF0000"/>
        </w:rPr>
        <w:t>Þessi stutti kafli fær að halda sér að langmestu leyti. Þó skal bent á í þessu sambandi að í</w:t>
      </w:r>
      <w:r w:rsidR="008A1453" w:rsidRPr="002911C1">
        <w:rPr>
          <w:color w:val="FF0000"/>
        </w:rPr>
        <w:t xml:space="preserve"> Efnisgæðaritinu í kafla 64.5.3 í Kröfur til efnismassa – Leiðbeinandi hönnunarkröfur segir: </w:t>
      </w:r>
      <w:r w:rsidR="002911C1" w:rsidRPr="002911C1">
        <w:rPr>
          <w:color w:val="FF0000"/>
        </w:rPr>
        <w:t>“</w:t>
      </w:r>
      <w:r w:rsidR="008A1453" w:rsidRPr="002911C1">
        <w:rPr>
          <w:color w:val="FF0000"/>
        </w:rPr>
        <w:t>Kröfur um gerðarprófanir gera ráð fyrir að eiginleikum mismunandi malbiksgerða sé lýst yfir á ákveðinn hátt (e. Declaration of Performance, DoP). Íslenskur fylgistaðall um framleiðslu malbiks, ÍST 75, kveður meðal annars á um hvaða prófanir skuli gera vegna gerðarprófana. Fyrir malbik sem ætlað er til nota þar sem umferð er lítil nægir að lýsa yfir kornakúrfu, bindiefnisinnihaldi, holrýmd, bikfylltri holrýmd og hitastigi við blöndun. Ef malbiksgerð er ætluð til nota þar sem heildarumferð mikil, eða &gt; 8000 ÁDU eða þar sem þungaumferð er ≥ 400 ÁDU</w:t>
      </w:r>
      <w:r w:rsidR="008A1453" w:rsidRPr="002911C1">
        <w:rPr>
          <w:color w:val="FF0000"/>
          <w:vertAlign w:val="subscript"/>
        </w:rPr>
        <w:t>þ</w:t>
      </w:r>
      <w:r w:rsidR="008A1453" w:rsidRPr="002911C1">
        <w:rPr>
          <w:color w:val="FF0000"/>
        </w:rPr>
        <w:t xml:space="preserve"> (miðað við heildarumferð á vegi eða götu), og einnig þar sem er sambærilegt álag á malbikinu, t.d. á flugvöllum, flughlöðum, hafnarsvæðum, biðstöðvum strætisvagna og öðrum vinnusvæðum þungra farartækja, skal auk þess lýsa yfir skrið-, slit- og vatnsnæmi-eiginleikum. Gerðarprófanir hverrar malbiksgerðar sem framleidd er á markað skal gera í upphafi og síðan á fimm ára fresti að lágmarki. Ef gerð malbiks er breytt á afgerandi hátt (þannig að farið er út fyrir þolvik) skal meðhöndla malbiksblönduna sem nýja gerð malbiks sem þarf þá að gerðarprófa sem slíka</w:t>
      </w:r>
      <w:r w:rsidR="002911C1" w:rsidRPr="002911C1">
        <w:rPr>
          <w:color w:val="FF0000"/>
        </w:rPr>
        <w:t>”</w:t>
      </w:r>
      <w:r w:rsidR="008A1453" w:rsidRPr="002911C1">
        <w:rPr>
          <w:color w:val="FF0000"/>
        </w:rPr>
        <w:t>.</w:t>
      </w:r>
    </w:p>
    <w:p w14:paraId="33D080A7" w14:textId="77777777" w:rsidR="00C92BA6" w:rsidRPr="002911C1" w:rsidRDefault="00C92BA6" w:rsidP="00962F11">
      <w:pPr>
        <w:spacing w:after="60"/>
        <w:jc w:val="both"/>
        <w:rPr>
          <w:b/>
          <w:color w:val="FF0000"/>
          <w:lang w:val="is-IS"/>
        </w:rPr>
      </w:pPr>
    </w:p>
    <w:p w14:paraId="33D080A8" w14:textId="77777777" w:rsidR="00962F11" w:rsidRPr="00962F11" w:rsidRDefault="00962F11" w:rsidP="00E57041">
      <w:pPr>
        <w:spacing w:after="60"/>
        <w:rPr>
          <w:b/>
          <w:sz w:val="24"/>
          <w:szCs w:val="24"/>
          <w:lang w:val="is-IS"/>
        </w:rPr>
      </w:pPr>
      <w:r w:rsidRPr="00962F11">
        <w:rPr>
          <w:b/>
          <w:sz w:val="24"/>
          <w:szCs w:val="24"/>
          <w:lang w:val="is-IS"/>
        </w:rPr>
        <w:t>HEIMILDIR</w:t>
      </w:r>
    </w:p>
    <w:p w14:paraId="33D080A9" w14:textId="77777777" w:rsidR="00962F11" w:rsidRDefault="00962F11" w:rsidP="00962F11">
      <w:pPr>
        <w:ind w:left="342" w:hanging="342"/>
        <w:jc w:val="both"/>
        <w:rPr>
          <w:lang w:val="is-IS"/>
        </w:rPr>
      </w:pPr>
      <w:r>
        <w:rPr>
          <w:lang w:val="is-IS"/>
        </w:rPr>
        <w:t xml:space="preserve">Asphalt Institute. 1984. </w:t>
      </w:r>
      <w:r w:rsidRPr="001F5DA6">
        <w:rPr>
          <w:i/>
          <w:lang w:val="is-IS"/>
        </w:rPr>
        <w:t>Mix Design Methods for Asphalt Concrete and Other Hot-Mix Types.</w:t>
      </w:r>
      <w:r>
        <w:rPr>
          <w:lang w:val="is-IS"/>
        </w:rPr>
        <w:t xml:space="preserve"> Manual Series No. 2 (MS-2). May 1984 edition. Maryland.</w:t>
      </w:r>
    </w:p>
    <w:p w14:paraId="33D080AA" w14:textId="77777777" w:rsidR="00962F11" w:rsidRDefault="00962F11" w:rsidP="00962F11">
      <w:pPr>
        <w:ind w:left="342" w:hanging="342"/>
        <w:jc w:val="both"/>
        <w:rPr>
          <w:lang w:val="is-IS"/>
        </w:rPr>
      </w:pPr>
      <w:r w:rsidRPr="00420587">
        <w:rPr>
          <w:lang w:val="is-IS"/>
        </w:rPr>
        <w:t>Hilliges, F.</w:t>
      </w:r>
      <w:r>
        <w:rPr>
          <w:lang w:val="is-IS"/>
        </w:rPr>
        <w:t xml:space="preserve"> (redaktör). 1995. </w:t>
      </w:r>
      <w:r w:rsidRPr="00420587">
        <w:rPr>
          <w:i/>
          <w:lang w:val="is-IS"/>
        </w:rPr>
        <w:t>FAS Asfaltbok.</w:t>
      </w:r>
      <w:r>
        <w:rPr>
          <w:lang w:val="is-IS"/>
        </w:rPr>
        <w:t xml:space="preserve"> Föreningen för Asfaltbeläggningar i Sverige. Stockholm.</w:t>
      </w:r>
    </w:p>
    <w:p w14:paraId="33D080AB" w14:textId="77777777" w:rsidR="00962F11" w:rsidRDefault="00962F11" w:rsidP="00962F11">
      <w:pPr>
        <w:ind w:left="342" w:hanging="342"/>
        <w:jc w:val="both"/>
        <w:rPr>
          <w:lang w:val="is-IS"/>
        </w:rPr>
      </w:pPr>
      <w:r w:rsidRPr="006E1857">
        <w:rPr>
          <w:lang w:val="is-IS"/>
        </w:rPr>
        <w:t xml:space="preserve">PANK. </w:t>
      </w:r>
      <w:r w:rsidR="00577261">
        <w:rPr>
          <w:lang w:val="is-IS"/>
        </w:rPr>
        <w:t>2000</w:t>
      </w:r>
      <w:r w:rsidRPr="006E1857">
        <w:rPr>
          <w:lang w:val="is-IS"/>
        </w:rPr>
        <w:t xml:space="preserve">. </w:t>
      </w:r>
      <w:r w:rsidRPr="006E1857">
        <w:rPr>
          <w:i/>
          <w:lang w:val="is-IS"/>
        </w:rPr>
        <w:t xml:space="preserve">Finnish Asphalt Specifications </w:t>
      </w:r>
      <w:r w:rsidR="00577261">
        <w:rPr>
          <w:i/>
          <w:lang w:val="is-IS"/>
        </w:rPr>
        <w:t>2000</w:t>
      </w:r>
      <w:r w:rsidRPr="006E1857">
        <w:rPr>
          <w:i/>
          <w:lang w:val="is-IS"/>
        </w:rPr>
        <w:t>.</w:t>
      </w:r>
      <w:r w:rsidRPr="006E1857">
        <w:rPr>
          <w:lang w:val="is-IS"/>
        </w:rPr>
        <w:t xml:space="preserve"> Finnish Pavement Technology Advisory Council. Helsinki.</w:t>
      </w:r>
    </w:p>
    <w:p w14:paraId="33D080AC" w14:textId="77777777" w:rsidR="00962F11" w:rsidRPr="006E1857" w:rsidRDefault="00962F11" w:rsidP="00962F11">
      <w:pPr>
        <w:ind w:left="342" w:hanging="342"/>
        <w:jc w:val="both"/>
        <w:rPr>
          <w:lang w:val="is-IS"/>
        </w:rPr>
      </w:pPr>
      <w:r w:rsidRPr="006E1857">
        <w:rPr>
          <w:lang w:val="is-IS"/>
        </w:rPr>
        <w:lastRenderedPageBreak/>
        <w:t xml:space="preserve">Statens vegvesen. 2005. </w:t>
      </w:r>
      <w:r w:rsidRPr="006E1857">
        <w:rPr>
          <w:i/>
          <w:lang w:val="is-IS"/>
        </w:rPr>
        <w:t>Håndbok 018.</w:t>
      </w:r>
      <w:r w:rsidRPr="006E1857">
        <w:rPr>
          <w:lang w:val="is-IS"/>
        </w:rPr>
        <w:t xml:space="preserve"> </w:t>
      </w:r>
      <w:r w:rsidRPr="006E1857">
        <w:rPr>
          <w:i/>
          <w:lang w:val="is-IS"/>
        </w:rPr>
        <w:t xml:space="preserve">Vegbygging. </w:t>
      </w:r>
      <w:r w:rsidRPr="006E1857">
        <w:rPr>
          <w:lang w:val="is-IS"/>
        </w:rPr>
        <w:t>Statens vegvesen. Oslo.</w:t>
      </w:r>
    </w:p>
    <w:p w14:paraId="33D080AD" w14:textId="77777777" w:rsidR="00962F11" w:rsidRDefault="00962F11" w:rsidP="00962F11">
      <w:pPr>
        <w:ind w:left="340" w:hanging="340"/>
        <w:jc w:val="both"/>
        <w:rPr>
          <w:szCs w:val="22"/>
          <w:lang w:val="is-IS"/>
        </w:rPr>
      </w:pPr>
      <w:r w:rsidRPr="006E1857">
        <w:rPr>
          <w:szCs w:val="22"/>
          <w:lang w:val="is-IS"/>
        </w:rPr>
        <w:t xml:space="preserve">Vägverket. 2005. </w:t>
      </w:r>
      <w:r w:rsidRPr="006E1857">
        <w:rPr>
          <w:i/>
          <w:szCs w:val="22"/>
          <w:lang w:val="is-IS"/>
        </w:rPr>
        <w:t xml:space="preserve">ATB VÄG 2005. Kapitel </w:t>
      </w:r>
      <w:r>
        <w:rPr>
          <w:i/>
          <w:szCs w:val="22"/>
          <w:lang w:val="is-IS"/>
        </w:rPr>
        <w:t>F</w:t>
      </w:r>
      <w:r w:rsidRPr="006E1857">
        <w:rPr>
          <w:i/>
          <w:szCs w:val="22"/>
          <w:lang w:val="is-IS"/>
        </w:rPr>
        <w:t xml:space="preserve"> </w:t>
      </w:r>
      <w:r>
        <w:rPr>
          <w:i/>
          <w:szCs w:val="22"/>
          <w:lang w:val="is-IS"/>
        </w:rPr>
        <w:t>Bitumenbundna lager.</w:t>
      </w:r>
      <w:r w:rsidRPr="006E1857">
        <w:rPr>
          <w:szCs w:val="22"/>
          <w:lang w:val="is-IS"/>
        </w:rPr>
        <w:t xml:space="preserve"> VV Publ 2005:112. Borlänge.</w:t>
      </w:r>
    </w:p>
    <w:p w14:paraId="33D080AE" w14:textId="77777777" w:rsidR="00962F11" w:rsidRPr="00420587" w:rsidRDefault="00962F11" w:rsidP="00962F11">
      <w:pPr>
        <w:ind w:left="342" w:hanging="342"/>
        <w:jc w:val="both"/>
        <w:rPr>
          <w:lang w:val="is-IS"/>
        </w:rPr>
      </w:pPr>
      <w:r>
        <w:rPr>
          <w:lang w:val="is-IS"/>
        </w:rPr>
        <w:t xml:space="preserve"> Wallace, Hugh A., Martin, J. Rogers. 1967. </w:t>
      </w:r>
      <w:r w:rsidRPr="00160E3E">
        <w:rPr>
          <w:i/>
          <w:lang w:val="is-IS"/>
        </w:rPr>
        <w:t>Asphalt Pavement Engineering.</w:t>
      </w:r>
      <w:r>
        <w:rPr>
          <w:lang w:val="is-IS"/>
        </w:rPr>
        <w:t xml:space="preserve"> McGraw-Hill Book Company, New York.</w:t>
      </w:r>
    </w:p>
    <w:p w14:paraId="33D080B2" w14:textId="77777777" w:rsidR="00962F11" w:rsidRDefault="00962F11" w:rsidP="00962F11">
      <w:pPr>
        <w:spacing w:after="60"/>
        <w:jc w:val="both"/>
        <w:rPr>
          <w:lang w:val="is-IS"/>
        </w:rPr>
      </w:pPr>
    </w:p>
    <w:p w14:paraId="33D080B3" w14:textId="77777777" w:rsidR="00962F11" w:rsidRPr="001C45E6" w:rsidRDefault="00962F11" w:rsidP="00D15FAD">
      <w:pPr>
        <w:pStyle w:val="Heading1"/>
        <w:rPr>
          <w:lang w:val="is-IS"/>
        </w:rPr>
      </w:pPr>
      <w:bookmarkStart w:id="29" w:name="_Toc52974034"/>
      <w:r w:rsidRPr="001C45E6">
        <w:rPr>
          <w:lang w:val="is-IS"/>
        </w:rPr>
        <w:t>FRÓÐLEIKUR UM VIÐLOÐUN OG VIÐLOÐUNARPRÓF</w:t>
      </w:r>
      <w:bookmarkEnd w:id="29"/>
    </w:p>
    <w:p w14:paraId="33D080B4" w14:textId="77777777" w:rsidR="00962F11" w:rsidRPr="0054726C" w:rsidRDefault="00962F11" w:rsidP="00962F11">
      <w:pPr>
        <w:spacing w:after="60"/>
        <w:jc w:val="both"/>
        <w:rPr>
          <w:sz w:val="24"/>
          <w:szCs w:val="24"/>
          <w:lang w:val="is-IS"/>
        </w:rPr>
      </w:pPr>
    </w:p>
    <w:p w14:paraId="33D080B5" w14:textId="77777777" w:rsidR="00962F11" w:rsidRDefault="00962F11" w:rsidP="00962F11">
      <w:pPr>
        <w:jc w:val="both"/>
        <w:rPr>
          <w:lang w:val="is-IS"/>
        </w:rPr>
      </w:pPr>
      <w:r>
        <w:rPr>
          <w:lang w:val="is-IS"/>
        </w:rPr>
        <w:t>Ef tvö efni koma</w:t>
      </w:r>
      <w:r w:rsidR="00577261">
        <w:rPr>
          <w:lang w:val="is-IS"/>
        </w:rPr>
        <w:t>st</w:t>
      </w:r>
      <w:r>
        <w:rPr>
          <w:lang w:val="is-IS"/>
        </w:rPr>
        <w:t xml:space="preserve"> í nána snertingu hvort við annað </w:t>
      </w:r>
      <w:r w:rsidR="00577261">
        <w:rPr>
          <w:lang w:val="is-IS"/>
        </w:rPr>
        <w:t>eiga þau til að</w:t>
      </w:r>
      <w:r>
        <w:rPr>
          <w:lang w:val="is-IS"/>
        </w:rPr>
        <w:t xml:space="preserve"> fest</w:t>
      </w:r>
      <w:r w:rsidR="00577261">
        <w:rPr>
          <w:lang w:val="is-IS"/>
        </w:rPr>
        <w:t>ast</w:t>
      </w:r>
      <w:r>
        <w:rPr>
          <w:lang w:val="is-IS"/>
        </w:rPr>
        <w:t xml:space="preserve"> eða lím</w:t>
      </w:r>
      <w:r w:rsidR="00577261">
        <w:rPr>
          <w:lang w:val="is-IS"/>
        </w:rPr>
        <w:t>a</w:t>
      </w:r>
      <w:r>
        <w:rPr>
          <w:lang w:val="is-IS"/>
        </w:rPr>
        <w:t xml:space="preserve">st saman. Þessi eiginleiki er kallaður viðloðun. Því haldbetri sem festingin er þeim mun betri er viðloðunin sögð vera </w:t>
      </w:r>
      <w:r w:rsidR="00577261">
        <w:rPr>
          <w:lang w:val="is-IS"/>
        </w:rPr>
        <w:t>[</w:t>
      </w:r>
      <w:r>
        <w:rPr>
          <w:lang w:val="is-IS"/>
        </w:rPr>
        <w:t>Rannsóknir á viðloðunarefnum, 1966, bls. 2</w:t>
      </w:r>
      <w:r w:rsidR="00577261">
        <w:rPr>
          <w:lang w:val="is-IS"/>
        </w:rPr>
        <w:t>]</w:t>
      </w:r>
      <w:r>
        <w:rPr>
          <w:lang w:val="is-IS"/>
        </w:rPr>
        <w:t xml:space="preserve">. </w:t>
      </w:r>
    </w:p>
    <w:p w14:paraId="33D080B6" w14:textId="77777777" w:rsidR="00962F11" w:rsidRPr="00C37131" w:rsidRDefault="00962F11" w:rsidP="00962F11">
      <w:pPr>
        <w:ind w:firstLine="342"/>
        <w:jc w:val="both"/>
        <w:rPr>
          <w:lang w:val="is-IS"/>
        </w:rPr>
      </w:pPr>
      <w:r w:rsidRPr="00C37131">
        <w:rPr>
          <w:lang w:val="is-IS"/>
        </w:rPr>
        <w:t xml:space="preserve">Viðloðun í bikbundnum slitlögum má skilgreina sem styrkleika bindingsins milli bindiefnis og steinefnis. Mæling á </w:t>
      </w:r>
      <w:r>
        <w:rPr>
          <w:lang w:val="is-IS"/>
        </w:rPr>
        <w:t xml:space="preserve">þessum </w:t>
      </w:r>
      <w:r w:rsidRPr="00C37131">
        <w:rPr>
          <w:lang w:val="is-IS"/>
        </w:rPr>
        <w:t xml:space="preserve">styrkleika er hins vegar verulegum erfiðleikum bundin og í staðinn er notast við óbeina mælingu, þar sem blöndum af steinefni og bindiefni er raðað eftir svörun þeirra við ákveðinni áraun undir tilteknum kringumstæðum. </w:t>
      </w:r>
    </w:p>
    <w:p w14:paraId="33D080B7" w14:textId="77777777" w:rsidR="00962F11" w:rsidRDefault="00962F11" w:rsidP="00962F11">
      <w:pPr>
        <w:spacing w:after="60"/>
        <w:ind w:firstLine="340"/>
        <w:jc w:val="both"/>
        <w:rPr>
          <w:lang w:val="is-IS"/>
        </w:rPr>
      </w:pPr>
      <w:r>
        <w:rPr>
          <w:lang w:val="is-IS"/>
        </w:rPr>
        <w:t>Þegar bikbindiefni kemst í snertingu við þurrt</w:t>
      </w:r>
      <w:r w:rsidR="00A54DB3">
        <w:rPr>
          <w:lang w:val="is-IS"/>
        </w:rPr>
        <w:t xml:space="preserve"> og hreint</w:t>
      </w:r>
      <w:r>
        <w:rPr>
          <w:lang w:val="is-IS"/>
        </w:rPr>
        <w:t xml:space="preserve"> steinefni er viðloðunin undantekningarlítið góð. Öðru máli gegnir ef yfirborð steinefnisins er rakt, þá er viðloðunin venjulega slæm. Orsökin er sú að í flestum tilfellum er viðloðun vatns og steinefnis sterkari en viðloðun bindiefnis og steinefnis. Af þessu má draga tvær mikilvægar ályktanir:</w:t>
      </w:r>
    </w:p>
    <w:p w14:paraId="33D080B8" w14:textId="77777777" w:rsidR="00962F11" w:rsidRDefault="00962F11" w:rsidP="00962F11">
      <w:pPr>
        <w:numPr>
          <w:ilvl w:val="0"/>
          <w:numId w:val="9"/>
        </w:numPr>
        <w:spacing w:after="60"/>
        <w:jc w:val="both"/>
        <w:rPr>
          <w:lang w:val="is-IS"/>
        </w:rPr>
      </w:pPr>
      <w:r>
        <w:rPr>
          <w:lang w:val="is-IS"/>
        </w:rPr>
        <w:t>Ef steinn er þakinn vatni loðir venjulegt bindiefni (þ.e. án viðloðunarhvata) illa eða alls ekki við hann.</w:t>
      </w:r>
    </w:p>
    <w:p w14:paraId="33D080B9" w14:textId="77777777" w:rsidR="00962F11" w:rsidRDefault="00962F11" w:rsidP="00962F11">
      <w:pPr>
        <w:numPr>
          <w:ilvl w:val="0"/>
          <w:numId w:val="9"/>
        </w:numPr>
        <w:spacing w:after="60"/>
        <w:jc w:val="both"/>
        <w:rPr>
          <w:lang w:val="is-IS"/>
        </w:rPr>
      </w:pPr>
      <w:r>
        <w:rPr>
          <w:lang w:val="is-IS"/>
        </w:rPr>
        <w:t>Þótt steinninn sé þegar þakinn bindiefni getur vatn samt sem áður hrakið bindiefnið af honum ef vatnið kemst í gegnum bindiefnishimnuna (t.d. ef hún rifnar) og að yfirborði steinsins.</w:t>
      </w:r>
    </w:p>
    <w:p w14:paraId="33D080BA" w14:textId="77777777" w:rsidR="00962F11" w:rsidRDefault="00962F11" w:rsidP="00962F11">
      <w:pPr>
        <w:spacing w:after="60"/>
        <w:jc w:val="both"/>
        <w:rPr>
          <w:lang w:val="is-IS"/>
        </w:rPr>
      </w:pPr>
      <w:r>
        <w:rPr>
          <w:lang w:val="is-IS"/>
        </w:rPr>
        <w:t>Viðloðun bindiefnis og steinefnis er háð ýmsum eiginleikum beggja efnisþátta. Þessir eru helstir:</w:t>
      </w:r>
    </w:p>
    <w:p w14:paraId="33D080BB" w14:textId="4EF381A4" w:rsidR="00962F11" w:rsidRDefault="00962F11" w:rsidP="00962F11">
      <w:pPr>
        <w:numPr>
          <w:ilvl w:val="0"/>
          <w:numId w:val="9"/>
        </w:numPr>
        <w:spacing w:after="60"/>
        <w:jc w:val="both"/>
        <w:rPr>
          <w:lang w:val="is-IS"/>
        </w:rPr>
      </w:pPr>
      <w:r w:rsidRPr="00F52026">
        <w:rPr>
          <w:i/>
          <w:lang w:val="is-IS"/>
        </w:rPr>
        <w:t>Kísilsýruinnihald</w:t>
      </w:r>
      <w:r>
        <w:rPr>
          <w:i/>
          <w:lang w:val="is-IS"/>
        </w:rPr>
        <w:t xml:space="preserve"> steinefnis</w:t>
      </w:r>
      <w:r w:rsidRPr="00F52026">
        <w:rPr>
          <w:i/>
          <w:lang w:val="is-IS"/>
        </w:rPr>
        <w:t>.</w:t>
      </w:r>
      <w:r>
        <w:rPr>
          <w:lang w:val="is-IS"/>
        </w:rPr>
        <w:t xml:space="preserve"> Að líkindum hafa bergtegundir með hátt kísilssýru</w:t>
      </w:r>
      <w:r>
        <w:rPr>
          <w:lang w:val="is-IS"/>
        </w:rPr>
        <w:softHyphen/>
        <w:t>innihald (&gt;</w:t>
      </w:r>
      <w:r w:rsidR="00A54DB3">
        <w:rPr>
          <w:lang w:val="is-IS"/>
        </w:rPr>
        <w:t xml:space="preserve"> </w:t>
      </w:r>
      <w:r>
        <w:rPr>
          <w:lang w:val="is-IS"/>
        </w:rPr>
        <w:t xml:space="preserve">60%) að jafnaði lakari viðloðun en lágt. Sem þumalfingursreglu má nota að ljós steinefni (granít, kvarsít, díorit) hafa yfirleitt lakari viðloðun en dökk (basalt). </w:t>
      </w:r>
    </w:p>
    <w:p w14:paraId="33D080BC" w14:textId="77777777" w:rsidR="00962F11" w:rsidRDefault="00962F11" w:rsidP="00962F11">
      <w:pPr>
        <w:numPr>
          <w:ilvl w:val="0"/>
          <w:numId w:val="9"/>
        </w:numPr>
        <w:spacing w:after="60"/>
        <w:jc w:val="both"/>
        <w:rPr>
          <w:lang w:val="is-IS"/>
        </w:rPr>
      </w:pPr>
      <w:r w:rsidRPr="00DA0513">
        <w:rPr>
          <w:i/>
          <w:lang w:val="is-IS"/>
        </w:rPr>
        <w:t xml:space="preserve">Gropa. </w:t>
      </w:r>
      <w:r>
        <w:rPr>
          <w:lang w:val="is-IS"/>
        </w:rPr>
        <w:t xml:space="preserve">Stundum er erfitt að þurrka gropin steinefni fullkomlega. Ef ekki tekst að þurrka allt vatn úr gropunum, getur vatnið í þeim þrengt sér milli bindiefnishimnunnar og steinsins og rifið hana frá. Ef steinefnið er hins vegar fullþurrt, þrengir bindiefnið sér inn í gropurnar og þá fæst betri viðloðun (stærri snertiflötur) en í gropulausu efni.  </w:t>
      </w:r>
    </w:p>
    <w:p w14:paraId="33D080BD" w14:textId="6EC13E0D" w:rsidR="00962F11" w:rsidRDefault="00962F11" w:rsidP="00962F11">
      <w:pPr>
        <w:numPr>
          <w:ilvl w:val="0"/>
          <w:numId w:val="9"/>
        </w:numPr>
        <w:spacing w:after="60"/>
        <w:jc w:val="both"/>
        <w:rPr>
          <w:lang w:val="is-IS"/>
        </w:rPr>
      </w:pPr>
      <w:r>
        <w:rPr>
          <w:i/>
          <w:lang w:val="is-IS"/>
        </w:rPr>
        <w:t xml:space="preserve">Kornalögun og yfirborðsáferð. </w:t>
      </w:r>
      <w:r w:rsidRPr="004162BC">
        <w:rPr>
          <w:lang w:val="is-IS"/>
        </w:rPr>
        <w:t>Á hvössum brúnum steinefnisins er bindiefnishimnan þunn.</w:t>
      </w:r>
      <w:r>
        <w:rPr>
          <w:lang w:val="is-IS"/>
        </w:rPr>
        <w:t xml:space="preserve"> Þar er hætt við að himnan rifni, vatn komist undir hana og byrji að flysja bindiefnishimnuna frá. Sama máli gegnir um steinefni í yfirborði slitlagsins, þar rofnar bindiefnishimnan af völdum negldra hjólbarða. </w:t>
      </w:r>
    </w:p>
    <w:p w14:paraId="33D080BE" w14:textId="08FBBA01" w:rsidR="00962F11" w:rsidRDefault="00962F11" w:rsidP="00962F11">
      <w:pPr>
        <w:numPr>
          <w:ilvl w:val="0"/>
          <w:numId w:val="9"/>
        </w:numPr>
        <w:spacing w:after="60"/>
        <w:jc w:val="both"/>
        <w:rPr>
          <w:lang w:val="is-IS"/>
        </w:rPr>
      </w:pPr>
      <w:r w:rsidRPr="00CA6677">
        <w:rPr>
          <w:i/>
          <w:lang w:val="is-IS"/>
        </w:rPr>
        <w:t>Hreinleiki.</w:t>
      </w:r>
      <w:r>
        <w:rPr>
          <w:lang w:val="is-IS"/>
        </w:rPr>
        <w:t xml:space="preserve"> Ef steinefnið er óhreint (</w:t>
      </w:r>
      <w:r w:rsidR="00A54DB3">
        <w:rPr>
          <w:lang w:val="is-IS"/>
        </w:rPr>
        <w:t>fínefnasmurt</w:t>
      </w:r>
      <w:r>
        <w:rPr>
          <w:lang w:val="is-IS"/>
        </w:rPr>
        <w:t>) getur viðloðun brugðist jafnvel þótt það sé fullkomlega þurrt, vegna þess að óhreinindin varna bindiefninu að komast í fulla snertingu við steinefnið. Þá getur verið til bóta að þvo steinefnið. Veðrunarhúð á steinefninu getur haft samskonar áhrif.</w:t>
      </w:r>
    </w:p>
    <w:p w14:paraId="33D080BF" w14:textId="77777777" w:rsidR="00962F11" w:rsidRDefault="00962F11" w:rsidP="00962F11">
      <w:pPr>
        <w:numPr>
          <w:ilvl w:val="0"/>
          <w:numId w:val="9"/>
        </w:numPr>
        <w:spacing w:after="60"/>
        <w:jc w:val="both"/>
        <w:rPr>
          <w:lang w:val="is-IS"/>
        </w:rPr>
      </w:pPr>
      <w:r>
        <w:rPr>
          <w:i/>
          <w:lang w:val="is-IS"/>
        </w:rPr>
        <w:t>Seigja bindiefnis.</w:t>
      </w:r>
      <w:r>
        <w:rPr>
          <w:lang w:val="is-IS"/>
        </w:rPr>
        <w:t xml:space="preserve"> Því þynnra sem bindiefnið er, þeim mun auðveldara á það með að væta steinefnið og smjúga inn í gropur. Að sama skapi er auðveldara fyrir </w:t>
      </w:r>
      <w:r w:rsidR="00183D3E">
        <w:rPr>
          <w:lang w:val="is-IS"/>
        </w:rPr>
        <w:t>vatn</w:t>
      </w:r>
      <w:r>
        <w:rPr>
          <w:lang w:val="is-IS"/>
        </w:rPr>
        <w:t xml:space="preserve"> að flysja bindiefnishimnuna af</w:t>
      </w:r>
      <w:r w:rsidR="00183D3E">
        <w:rPr>
          <w:lang w:val="is-IS"/>
        </w:rPr>
        <w:t>,</w:t>
      </w:r>
      <w:r>
        <w:rPr>
          <w:lang w:val="is-IS"/>
        </w:rPr>
        <w:t xml:space="preserve"> ef það kemst á milli steins og bindiefnis.</w:t>
      </w:r>
    </w:p>
    <w:p w14:paraId="33D080C0" w14:textId="77777777" w:rsidR="00962F11" w:rsidRDefault="00962F11" w:rsidP="00962F11">
      <w:pPr>
        <w:numPr>
          <w:ilvl w:val="0"/>
          <w:numId w:val="9"/>
        </w:numPr>
        <w:spacing w:after="60"/>
        <w:jc w:val="both"/>
        <w:rPr>
          <w:lang w:val="is-IS"/>
        </w:rPr>
      </w:pPr>
      <w:r>
        <w:rPr>
          <w:i/>
          <w:lang w:val="is-IS"/>
        </w:rPr>
        <w:t>Efnafræðilegir eiginleikar.</w:t>
      </w:r>
      <w:r>
        <w:rPr>
          <w:lang w:val="is-IS"/>
        </w:rPr>
        <w:t xml:space="preserve"> Talið er að sýrustig bindiefnis hafi áhrif á viðloðun þess við steinefni. </w:t>
      </w:r>
    </w:p>
    <w:p w14:paraId="33D080C1" w14:textId="77777777" w:rsidR="00962F11" w:rsidRDefault="00962F11" w:rsidP="00962F11">
      <w:pPr>
        <w:numPr>
          <w:ilvl w:val="0"/>
          <w:numId w:val="9"/>
        </w:numPr>
        <w:spacing w:after="60"/>
        <w:jc w:val="both"/>
        <w:rPr>
          <w:lang w:val="is-IS"/>
        </w:rPr>
      </w:pPr>
      <w:r>
        <w:rPr>
          <w:i/>
          <w:lang w:val="is-IS"/>
        </w:rPr>
        <w:t>Íaukar.</w:t>
      </w:r>
      <w:r>
        <w:rPr>
          <w:lang w:val="is-IS"/>
        </w:rPr>
        <w:t xml:space="preserve"> Viðloðunarefni, íaukar sem stundum er blandað í bindiefni geta bætt viðloðun til muna. </w:t>
      </w:r>
    </w:p>
    <w:p w14:paraId="33D080C2" w14:textId="77777777" w:rsidR="00962F11" w:rsidRDefault="00962F11" w:rsidP="00962F11">
      <w:pPr>
        <w:spacing w:after="60"/>
        <w:jc w:val="both"/>
        <w:rPr>
          <w:lang w:val="is-IS"/>
        </w:rPr>
      </w:pPr>
      <w:r>
        <w:rPr>
          <w:lang w:val="is-IS"/>
        </w:rPr>
        <w:t>Viðloðun getur verið tvenns konar:</w:t>
      </w:r>
    </w:p>
    <w:p w14:paraId="33D080C3" w14:textId="77777777" w:rsidR="00962F11" w:rsidRDefault="00962F11" w:rsidP="00962F11">
      <w:pPr>
        <w:numPr>
          <w:ilvl w:val="0"/>
          <w:numId w:val="11"/>
        </w:numPr>
        <w:spacing w:after="60"/>
        <w:jc w:val="both"/>
        <w:rPr>
          <w:lang w:val="is-IS"/>
        </w:rPr>
      </w:pPr>
      <w:r>
        <w:rPr>
          <w:i/>
          <w:lang w:val="is-IS"/>
        </w:rPr>
        <w:lastRenderedPageBreak/>
        <w:t>T</w:t>
      </w:r>
      <w:r w:rsidRPr="00620483">
        <w:rPr>
          <w:i/>
          <w:lang w:val="is-IS"/>
        </w:rPr>
        <w:t xml:space="preserve">reg </w:t>
      </w:r>
      <w:r w:rsidRPr="005037E8">
        <w:rPr>
          <w:i/>
          <w:lang w:val="is-IS"/>
        </w:rPr>
        <w:t>(</w:t>
      </w:r>
      <w:r w:rsidR="00A54DB3">
        <w:rPr>
          <w:i/>
          <w:lang w:val="is-IS"/>
        </w:rPr>
        <w:t xml:space="preserve">e. </w:t>
      </w:r>
      <w:r w:rsidRPr="005037E8">
        <w:rPr>
          <w:i/>
          <w:lang w:val="is-IS"/>
        </w:rPr>
        <w:t>pass</w:t>
      </w:r>
      <w:r>
        <w:rPr>
          <w:i/>
          <w:lang w:val="is-IS"/>
        </w:rPr>
        <w:t>i</w:t>
      </w:r>
      <w:r w:rsidRPr="005037E8">
        <w:rPr>
          <w:i/>
          <w:lang w:val="is-IS"/>
        </w:rPr>
        <w:t>v</w:t>
      </w:r>
      <w:r>
        <w:rPr>
          <w:i/>
          <w:lang w:val="is-IS"/>
        </w:rPr>
        <w:t>e</w:t>
      </w:r>
      <w:r w:rsidRPr="005037E8">
        <w:rPr>
          <w:i/>
          <w:lang w:val="is-IS"/>
        </w:rPr>
        <w:t>) viðloðun.</w:t>
      </w:r>
      <w:r>
        <w:rPr>
          <w:lang w:val="is-IS"/>
        </w:rPr>
        <w:t xml:space="preserve"> Að jafnaði límist bindiefni við þurran stein, þótt það nái engri festingu við hann rakan. Þetta er kölluð treg viðloðun.</w:t>
      </w:r>
      <w:r w:rsidRPr="005037E8">
        <w:rPr>
          <w:sz w:val="18"/>
          <w:szCs w:val="18"/>
          <w:lang w:val="is-IS"/>
        </w:rPr>
        <w:t xml:space="preserve"> </w:t>
      </w:r>
      <w:r>
        <w:rPr>
          <w:lang w:val="is-IS"/>
        </w:rPr>
        <w:t>Þessi gerð af viðloðun er algengust í malbiki.</w:t>
      </w:r>
    </w:p>
    <w:p w14:paraId="33D080C4" w14:textId="77777777" w:rsidR="00962F11" w:rsidRDefault="00962F11" w:rsidP="00962F11">
      <w:pPr>
        <w:numPr>
          <w:ilvl w:val="0"/>
          <w:numId w:val="11"/>
        </w:numPr>
        <w:spacing w:after="60"/>
        <w:jc w:val="both"/>
        <w:rPr>
          <w:lang w:val="is-IS"/>
        </w:rPr>
      </w:pPr>
      <w:r w:rsidRPr="00864A57">
        <w:rPr>
          <w:i/>
          <w:lang w:val="is-IS"/>
        </w:rPr>
        <w:t>Áleitin</w:t>
      </w:r>
      <w:r>
        <w:rPr>
          <w:i/>
          <w:lang w:val="is-IS"/>
        </w:rPr>
        <w:t xml:space="preserve"> (</w:t>
      </w:r>
      <w:r w:rsidR="00A54DB3">
        <w:rPr>
          <w:i/>
          <w:lang w:val="is-IS"/>
        </w:rPr>
        <w:t xml:space="preserve">e. </w:t>
      </w:r>
      <w:r>
        <w:rPr>
          <w:i/>
          <w:lang w:val="is-IS"/>
        </w:rPr>
        <w:t xml:space="preserve">active) </w:t>
      </w:r>
      <w:r w:rsidRPr="00864A57">
        <w:rPr>
          <w:i/>
          <w:lang w:val="is-IS"/>
        </w:rPr>
        <w:t>viðloðun.</w:t>
      </w:r>
      <w:r>
        <w:rPr>
          <w:lang w:val="is-IS"/>
        </w:rPr>
        <w:t xml:space="preserve"> Ef dropi af bindiefni, sem snertir rakan stein, skríður út yfir steininn þannig að snertiflöturinn stækkar er viðloðunin kölluð áleitin. Þetta er merki um að viðloðun bindiefnisins við steininn sé meiri en viðloðun vatns við hann. Þegar viðloðunarefnum er blandað í bindiefni breytist viðloðunin oft úr tregri viðloðun í áleitna.</w:t>
      </w:r>
    </w:p>
    <w:p w14:paraId="33D080C5" w14:textId="3C1B761B" w:rsidR="00962F11" w:rsidRDefault="00962F11" w:rsidP="00962F11">
      <w:pPr>
        <w:jc w:val="both"/>
        <w:rPr>
          <w:lang w:val="is-IS"/>
        </w:rPr>
      </w:pPr>
      <w:r>
        <w:rPr>
          <w:lang w:val="is-IS"/>
        </w:rPr>
        <w:t xml:space="preserve">Viðloðunarefni, geta bætt viðloðun til muna, einkum ef bindiefni með litla seigju eiga í hlut. Ef viðloðun verður að vera áleitin, eins og þegar þunnfljótandi bindiefni (svo sem bikþeytu) er blandað í rakt eða hálfþurrkað steinefni verður steinefnið að vera hreint og lítt eða ekki veðrað. Viðloðunarefni eru talin halda virkni sinni svo árum skiptir, a.m.k. þegar malbik á í hlut. </w:t>
      </w:r>
    </w:p>
    <w:p w14:paraId="33D080C6" w14:textId="77777777" w:rsidR="00962F11" w:rsidRDefault="00962F11" w:rsidP="00962F11">
      <w:pPr>
        <w:ind w:firstLine="342"/>
        <w:jc w:val="both"/>
        <w:rPr>
          <w:lang w:val="is-IS"/>
        </w:rPr>
      </w:pPr>
      <w:r>
        <w:rPr>
          <w:lang w:val="is-IS"/>
        </w:rPr>
        <w:t xml:space="preserve">Algengust þeirra viðloðunarefna sem nú eru notuð eru fituamin. Það eru kolvetnakeðjur með aminhóp á öðrum endanum. Sá endi er hlaðinn og binst auðveldlega hleðslum á yfirborði steinefnisins. Hinn endinn er fitusækinn og tengist þess vegna bindiefninu. Þessi virkni getur verið svo öflug að viðloðunin verði áleitin, eins og berlega kemur í ljós þegar viðloðun er prófuð í svokölluðu hrærsluprófi. </w:t>
      </w:r>
    </w:p>
    <w:p w14:paraId="33D080C7" w14:textId="77777777" w:rsidR="00962F11" w:rsidRDefault="00962F11" w:rsidP="00962F11">
      <w:pPr>
        <w:spacing w:after="60"/>
        <w:ind w:firstLine="342"/>
        <w:jc w:val="both"/>
        <w:rPr>
          <w:lang w:val="is-IS"/>
        </w:rPr>
      </w:pPr>
      <w:r>
        <w:rPr>
          <w:lang w:val="is-IS"/>
        </w:rPr>
        <w:t>Viðloðun getur skipt miklu máli fyrir endingu slitlags og þess vegna hafa verið reyndar ótal aðferðir til að prófa viðloðunareiginleika steinefna og áhrif vatns á malbik. Þessar prófunaraðferðir hafa allar sætt gagnrýni en eru þó, sumar hverjar að minnsta kosti, taldar gefa sterkar vísbendingar um viðloðunareiginleika. Prófunaraðferðunum má skipta í tvo flokka:</w:t>
      </w:r>
    </w:p>
    <w:p w14:paraId="33D080C8" w14:textId="77777777" w:rsidR="00962F11" w:rsidRDefault="00962F11" w:rsidP="00962F11">
      <w:pPr>
        <w:numPr>
          <w:ilvl w:val="0"/>
          <w:numId w:val="10"/>
        </w:numPr>
        <w:spacing w:after="60"/>
        <w:jc w:val="both"/>
        <w:rPr>
          <w:lang w:val="is-IS"/>
        </w:rPr>
      </w:pPr>
      <w:r>
        <w:rPr>
          <w:lang w:val="is-IS"/>
        </w:rPr>
        <w:t>Prófun á viðloðunareiginleikum steinefna. Þá er bindiefni blandað saman við steina, raka eða þurra, og mælt á einhvern hátt hversu vel bindiefnið loðir við þá. Af þeim sem hafa verið notuð hérlendis eru hrærslupróf á viðloðun og rúlluflöskupróf algengust.</w:t>
      </w:r>
    </w:p>
    <w:p w14:paraId="33D080C9" w14:textId="72119EB3" w:rsidR="00962F11" w:rsidRDefault="00962F11" w:rsidP="00962F11">
      <w:pPr>
        <w:spacing w:after="60"/>
        <w:ind w:left="1197" w:right="542"/>
        <w:jc w:val="both"/>
        <w:rPr>
          <w:lang w:val="is-IS"/>
        </w:rPr>
      </w:pPr>
      <w:r w:rsidRPr="005501CE">
        <w:rPr>
          <w:i/>
          <w:lang w:val="is-IS"/>
        </w:rPr>
        <w:t>Hrærslupróf á viðloðun</w:t>
      </w:r>
      <w:r>
        <w:rPr>
          <w:lang w:val="is-IS"/>
        </w:rPr>
        <w:t xml:space="preserve"> prófar áleitna viðloðun. Þá er þunnu bindiefni, blönduðu viðloðunarefni, hrært saman við blautt steinefni í stærðaflokknum 4-16 mm í fáeinar mínútur í þar til gerðri hrærivél. Síðan er vatni hellt yfir og hrært í klukkustund. Að því búnu er þakningin metin </w:t>
      </w:r>
      <w:r w:rsidR="00577261">
        <w:rPr>
          <w:lang w:val="is-IS"/>
        </w:rPr>
        <w:t>[</w:t>
      </w:r>
      <w:r>
        <w:rPr>
          <w:lang w:val="is-IS"/>
        </w:rPr>
        <w:t>Ásbjörn Jóhannesson 1977, bls. 31</w:t>
      </w:r>
      <w:r w:rsidR="00577261">
        <w:rPr>
          <w:lang w:val="is-IS"/>
        </w:rPr>
        <w:t>]</w:t>
      </w:r>
      <w:r>
        <w:rPr>
          <w:lang w:val="is-IS"/>
        </w:rPr>
        <w:t xml:space="preserve">. Þetta próf hefur reynst vel til að meta viðloðunareiginleika steinefna, sem á að nota í klæðingar. </w:t>
      </w:r>
    </w:p>
    <w:p w14:paraId="33D080CA" w14:textId="558E1BDA" w:rsidR="00962F11" w:rsidRDefault="00962F11" w:rsidP="00962F11">
      <w:pPr>
        <w:spacing w:after="60"/>
        <w:ind w:left="1197" w:right="542"/>
        <w:jc w:val="both"/>
        <w:rPr>
          <w:lang w:val="is-IS"/>
        </w:rPr>
      </w:pPr>
      <w:r w:rsidRPr="005501CE">
        <w:rPr>
          <w:i/>
          <w:lang w:val="is-IS"/>
        </w:rPr>
        <w:t xml:space="preserve">Rúlluflöskupróf </w:t>
      </w:r>
      <w:r w:rsidR="00577261">
        <w:rPr>
          <w:lang w:val="is-IS"/>
        </w:rPr>
        <w:t>[</w:t>
      </w:r>
      <w:r w:rsidRPr="00FA38F2">
        <w:rPr>
          <w:lang w:val="is-IS"/>
        </w:rPr>
        <w:t>ÍST EN 12697-11</w:t>
      </w:r>
      <w:r w:rsidR="00577261">
        <w:rPr>
          <w:lang w:val="is-IS"/>
        </w:rPr>
        <w:t>]</w:t>
      </w:r>
      <w:r>
        <w:rPr>
          <w:i/>
          <w:lang w:val="is-IS"/>
        </w:rPr>
        <w:t xml:space="preserve"> </w:t>
      </w:r>
      <w:r>
        <w:rPr>
          <w:lang w:val="is-IS"/>
        </w:rPr>
        <w:t xml:space="preserve">mælir trega viðloðun. Þurrum steinum í stærðaflokkum á bilinu 5,6-11,2 mm er blandað saman við </w:t>
      </w:r>
      <w:r w:rsidR="00946DD5">
        <w:rPr>
          <w:lang w:val="is-IS"/>
        </w:rPr>
        <w:t>bik</w:t>
      </w:r>
      <w:r>
        <w:rPr>
          <w:lang w:val="is-IS"/>
        </w:rPr>
        <w:t xml:space="preserve"> (með eða án viðloðunarefnis). Að því loknu eru steinarnir, einn og einn, tíndir upp í 500 ml glerflöskur þar til 150 g eru komin í hverja af þrem flöskum, og þær síðan fylltar að mestu með vatni. Þá eru flöskurnar lagðar á hliðina í vél sem veltir þeim í sífellu. Eftir 6 klst og aftur eftir 24 klst (prófið má einnig framlengja </w:t>
      </w:r>
      <w:r w:rsidRPr="00D024B3">
        <w:rPr>
          <w:lang w:val="is-IS"/>
        </w:rPr>
        <w:t>í 48</w:t>
      </w:r>
      <w:r>
        <w:rPr>
          <w:lang w:val="is-IS"/>
        </w:rPr>
        <w:t xml:space="preserve"> og 72 klst) eru steinarnir skoðaðir og þakning þeirra metin. Þetta próf hefur verið notað lítið eitt hérlendis en árangurinn orkar tvímælis, nákvæmnin er ekki sérlega mikil.</w:t>
      </w:r>
      <w:r w:rsidRPr="000B4259">
        <w:rPr>
          <w:lang w:val="is-IS"/>
        </w:rPr>
        <w:t xml:space="preserve"> </w:t>
      </w:r>
      <w:r w:rsidR="00D024B3">
        <w:rPr>
          <w:lang w:val="is-IS"/>
        </w:rPr>
        <w:t>Í kafla 6 í Efnisgæðaritinu er gerð sú krafa að steinefni í malbiki skuli hafa a.m.k. 25% þakningu úr rúlluflöskuprófi eftir hrærslu í 48 klst.</w:t>
      </w:r>
    </w:p>
    <w:p w14:paraId="33D080CB" w14:textId="77777777" w:rsidR="00962F11" w:rsidRDefault="00962F11" w:rsidP="00962F11">
      <w:pPr>
        <w:numPr>
          <w:ilvl w:val="0"/>
          <w:numId w:val="10"/>
        </w:numPr>
        <w:spacing w:after="60"/>
        <w:jc w:val="both"/>
        <w:rPr>
          <w:lang w:val="is-IS"/>
        </w:rPr>
      </w:pPr>
      <w:r>
        <w:rPr>
          <w:lang w:val="is-IS"/>
        </w:rPr>
        <w:t xml:space="preserve">Prófun á malbiki. Styrkleiki sýna (borkjarna, Marshallkjarna eða svipaðra sívalninga) af malbiki er borinn saman við styrkleika samskonar sýna sem hafa sætt áraun frá vatni við tiltekið hitastig. Í undantekningartilfellum er bætt við nokkrum frost-þíðusveiflum. Próf af þessu tagi eru kölluð vatnsnæmipróf og algengasta prófið hérlendis af þessu tagi er kleyfnipróf á viðloðun. </w:t>
      </w:r>
    </w:p>
    <w:p w14:paraId="33D080CC" w14:textId="47A739B6" w:rsidR="00962F11" w:rsidRDefault="00962F11" w:rsidP="00962F11">
      <w:pPr>
        <w:spacing w:after="60"/>
        <w:ind w:left="1197" w:right="542"/>
        <w:jc w:val="both"/>
        <w:rPr>
          <w:lang w:val="is-IS"/>
        </w:rPr>
      </w:pPr>
      <w:r>
        <w:rPr>
          <w:i/>
          <w:lang w:val="is-IS"/>
        </w:rPr>
        <w:t>Kleyfni</w:t>
      </w:r>
      <w:r w:rsidRPr="005501CE">
        <w:rPr>
          <w:i/>
          <w:lang w:val="is-IS"/>
        </w:rPr>
        <w:t>próf á viðloðun</w:t>
      </w:r>
      <w:r>
        <w:rPr>
          <w:lang w:val="is-IS"/>
        </w:rPr>
        <w:t xml:space="preserve"> </w:t>
      </w:r>
      <w:r w:rsidR="00577261">
        <w:rPr>
          <w:lang w:val="is-IS"/>
        </w:rPr>
        <w:t>[</w:t>
      </w:r>
      <w:r w:rsidRPr="00FA38F2">
        <w:rPr>
          <w:lang w:val="is-IS"/>
        </w:rPr>
        <w:t>ÍST EN 12697-</w:t>
      </w:r>
      <w:r>
        <w:rPr>
          <w:lang w:val="is-IS"/>
        </w:rPr>
        <w:t>23</w:t>
      </w:r>
      <w:r w:rsidR="00577261">
        <w:rPr>
          <w:lang w:val="is-IS"/>
        </w:rPr>
        <w:t>]</w:t>
      </w:r>
      <w:r>
        <w:rPr>
          <w:i/>
          <w:lang w:val="is-IS"/>
        </w:rPr>
        <w:t xml:space="preserve"> </w:t>
      </w:r>
      <w:r>
        <w:rPr>
          <w:lang w:val="is-IS"/>
        </w:rPr>
        <w:t>mælir trega viðloðun og byggist á styrkleikasamanburði sýna sem annars vegar hafa legið í vatni í 3 sólarhringa við 40°C og hinsvegar sýna sem eru prófuð þurr. Síðan er kleyfniþol (indirect tensile strength) beggja sýnahópa prófað og hlutfallið tekið sem mælikvarði á vatnsnæmi malbiksins. Þetta próf hefur verið notað hérlendis</w:t>
      </w:r>
      <w:r w:rsidR="00D024B3">
        <w:rPr>
          <w:lang w:val="is-IS"/>
        </w:rPr>
        <w:t xml:space="preserve"> sem gerðarpróf á malbiki ef umferð er mikil</w:t>
      </w:r>
      <w:r>
        <w:rPr>
          <w:lang w:val="is-IS"/>
        </w:rPr>
        <w:t xml:space="preserve"> </w:t>
      </w:r>
      <w:r w:rsidR="00D024B3">
        <w:rPr>
          <w:lang w:val="is-IS"/>
        </w:rPr>
        <w:t xml:space="preserve">(ásamt hjólfaraprófi </w:t>
      </w:r>
      <w:r w:rsidR="00D024B3">
        <w:rPr>
          <w:lang w:val="is-IS"/>
        </w:rPr>
        <w:lastRenderedPageBreak/>
        <w:t xml:space="preserve">og slitþolsprófi) </w:t>
      </w:r>
      <w:r>
        <w:rPr>
          <w:lang w:val="is-IS"/>
        </w:rPr>
        <w:t xml:space="preserve">og niðurstöðurnar hafa </w:t>
      </w:r>
      <w:r w:rsidR="00183D3E">
        <w:rPr>
          <w:lang w:val="is-IS"/>
        </w:rPr>
        <w:t>verið í viðunandi samræmi við reynslu</w:t>
      </w:r>
      <w:r>
        <w:rPr>
          <w:lang w:val="is-IS"/>
        </w:rPr>
        <w:t xml:space="preserve">. </w:t>
      </w:r>
    </w:p>
    <w:p w14:paraId="33D080CD" w14:textId="2B131470" w:rsidR="00962F11" w:rsidRDefault="00962F11" w:rsidP="00962F11">
      <w:pPr>
        <w:spacing w:after="60"/>
        <w:jc w:val="both"/>
        <w:rPr>
          <w:lang w:val="is-IS"/>
        </w:rPr>
      </w:pPr>
      <w:r>
        <w:rPr>
          <w:lang w:val="is-IS"/>
        </w:rPr>
        <w:t xml:space="preserve">Í ljósi þess að aðstæður hérlendis (margar frost-þíðu sveiflur, blaut slitlög vegna úrkomu og hálkueyðingar) gera miklar kröfur til viðloðunar bindiefnis við steinefni og þol slitlaga gagnvart áraun frá vatni, er æskilegt að prófa viðloðunareiginleika slitlaga á einhvern hátt. Þótt viðloðunarpróf séu frumstæð, eru þau samt sem áður líkleg til að geta raðað slitlagsgerðum með hliðsjón af viðloðunareiginleikum og gefið vísbendingu um endingu.    </w:t>
      </w:r>
    </w:p>
    <w:p w14:paraId="33D080CE" w14:textId="77777777" w:rsidR="00D024B3" w:rsidRDefault="00D024B3" w:rsidP="00962F11">
      <w:pPr>
        <w:spacing w:after="60"/>
        <w:jc w:val="both"/>
        <w:rPr>
          <w:lang w:val="is-IS"/>
        </w:rPr>
      </w:pPr>
    </w:p>
    <w:p w14:paraId="33D080CF" w14:textId="77777777" w:rsidR="00D024B3" w:rsidRPr="000C54A1" w:rsidRDefault="00D024B3" w:rsidP="00D024B3">
      <w:pPr>
        <w:ind w:firstLine="340"/>
        <w:jc w:val="both"/>
        <w:rPr>
          <w:b/>
          <w:color w:val="FF0000"/>
          <w:lang w:val="is-IS"/>
        </w:rPr>
      </w:pPr>
      <w:r w:rsidRPr="000C54A1">
        <w:rPr>
          <w:b/>
          <w:color w:val="FF0000"/>
          <w:lang w:val="is-IS"/>
        </w:rPr>
        <w:t>ATHUGASEMD RITSTJÓRNAR Í JANÚAR 2020</w:t>
      </w:r>
    </w:p>
    <w:p w14:paraId="33D080D0" w14:textId="77777777" w:rsidR="00962F11" w:rsidRDefault="006709F0" w:rsidP="00D024B3">
      <w:pPr>
        <w:spacing w:after="60"/>
        <w:jc w:val="both"/>
      </w:pPr>
      <w:r w:rsidRPr="000C54A1">
        <w:rPr>
          <w:color w:val="FF0000"/>
        </w:rPr>
        <w:t>Þessi</w:t>
      </w:r>
      <w:r w:rsidR="00D024B3" w:rsidRPr="000C54A1">
        <w:rPr>
          <w:color w:val="FF0000"/>
        </w:rPr>
        <w:t xml:space="preserve"> kafli fær að halda sér að langmestu leyti</w:t>
      </w:r>
      <w:r w:rsidR="00D024B3">
        <w:t>.</w:t>
      </w:r>
    </w:p>
    <w:p w14:paraId="33D080D1" w14:textId="77777777" w:rsidR="00D024B3" w:rsidRDefault="00D024B3" w:rsidP="00D024B3">
      <w:pPr>
        <w:spacing w:after="60"/>
        <w:jc w:val="both"/>
        <w:rPr>
          <w:b/>
          <w:lang w:val="is-IS"/>
        </w:rPr>
      </w:pPr>
    </w:p>
    <w:p w14:paraId="33D080D2" w14:textId="77777777" w:rsidR="00962F11" w:rsidRPr="00E57041" w:rsidRDefault="00962F11" w:rsidP="00E57041">
      <w:pPr>
        <w:spacing w:after="60"/>
        <w:rPr>
          <w:b/>
          <w:sz w:val="24"/>
          <w:szCs w:val="24"/>
          <w:lang w:val="is-IS"/>
        </w:rPr>
      </w:pPr>
      <w:r w:rsidRPr="00E57041">
        <w:rPr>
          <w:b/>
          <w:sz w:val="24"/>
          <w:szCs w:val="24"/>
          <w:lang w:val="is-IS"/>
        </w:rPr>
        <w:t>HEIMILDIR</w:t>
      </w:r>
    </w:p>
    <w:p w14:paraId="33D080D3" w14:textId="77777777" w:rsidR="00577261" w:rsidRPr="006E1857" w:rsidRDefault="00577261" w:rsidP="00962F11">
      <w:pPr>
        <w:ind w:left="342" w:hanging="342"/>
        <w:jc w:val="both"/>
        <w:rPr>
          <w:lang w:val="is-IS"/>
        </w:rPr>
      </w:pPr>
      <w:r>
        <w:rPr>
          <w:lang w:val="is-IS"/>
        </w:rPr>
        <w:t xml:space="preserve">Ásbjörn Jóhannesson. 1977. </w:t>
      </w:r>
      <w:r w:rsidRPr="00056E75">
        <w:rPr>
          <w:i/>
          <w:lang w:val="is-IS"/>
        </w:rPr>
        <w:t>Viðloðun í olíumöl og malbiki.</w:t>
      </w:r>
      <w:r>
        <w:rPr>
          <w:lang w:val="is-IS"/>
        </w:rPr>
        <w:t xml:space="preserve"> Rannsóknastofnun byggingariðnaðarins, Reykjavík. </w:t>
      </w:r>
    </w:p>
    <w:p w14:paraId="33D080D4" w14:textId="59DCD35C" w:rsidR="00577261" w:rsidRDefault="00577261" w:rsidP="00962F11">
      <w:pPr>
        <w:ind w:left="340" w:hanging="340"/>
        <w:jc w:val="both"/>
        <w:rPr>
          <w:szCs w:val="22"/>
          <w:lang w:val="is-IS"/>
        </w:rPr>
      </w:pPr>
      <w:r>
        <w:rPr>
          <w:szCs w:val="22"/>
          <w:lang w:val="is-IS"/>
        </w:rPr>
        <w:t xml:space="preserve">ÍST EN 12697-11. </w:t>
      </w:r>
      <w:r w:rsidRPr="0063568A">
        <w:rPr>
          <w:i/>
          <w:szCs w:val="22"/>
          <w:lang w:val="is-IS"/>
        </w:rPr>
        <w:t>Bituminous mixtures – Test methods for hot mix asphalt – Part 11: Determination of the affinity between aggregate and bitumen.</w:t>
      </w:r>
      <w:r>
        <w:rPr>
          <w:szCs w:val="22"/>
          <w:lang w:val="is-IS"/>
        </w:rPr>
        <w:t xml:space="preserve"> Staðlaráð Íslands, Reykjavík</w:t>
      </w:r>
      <w:r w:rsidRPr="004052CF">
        <w:rPr>
          <w:szCs w:val="22"/>
          <w:lang w:val="is-IS"/>
        </w:rPr>
        <w:t>.</w:t>
      </w:r>
    </w:p>
    <w:p w14:paraId="33D080D5" w14:textId="07A5520F" w:rsidR="00577261" w:rsidRDefault="00577261" w:rsidP="00962F11">
      <w:pPr>
        <w:ind w:left="340" w:hanging="340"/>
        <w:jc w:val="both"/>
        <w:rPr>
          <w:szCs w:val="22"/>
          <w:lang w:val="is-IS"/>
        </w:rPr>
      </w:pPr>
      <w:r>
        <w:rPr>
          <w:szCs w:val="22"/>
          <w:lang w:val="is-IS"/>
        </w:rPr>
        <w:t xml:space="preserve">ÍST EN 12697-23. </w:t>
      </w:r>
      <w:r w:rsidRPr="0063568A">
        <w:rPr>
          <w:i/>
          <w:szCs w:val="22"/>
          <w:lang w:val="is-IS"/>
        </w:rPr>
        <w:t xml:space="preserve">Bituminous mixtures – Test methods for hot mix asphalt – Part </w:t>
      </w:r>
      <w:r>
        <w:rPr>
          <w:i/>
          <w:szCs w:val="22"/>
          <w:lang w:val="is-IS"/>
        </w:rPr>
        <w:t>23</w:t>
      </w:r>
      <w:r w:rsidRPr="0063568A">
        <w:rPr>
          <w:i/>
          <w:szCs w:val="22"/>
          <w:lang w:val="is-IS"/>
        </w:rPr>
        <w:t xml:space="preserve">: Determination of the </w:t>
      </w:r>
      <w:r>
        <w:rPr>
          <w:i/>
          <w:szCs w:val="22"/>
          <w:lang w:val="is-IS"/>
        </w:rPr>
        <w:t>indirect tensile strength</w:t>
      </w:r>
      <w:r w:rsidRPr="0063568A">
        <w:rPr>
          <w:i/>
          <w:szCs w:val="22"/>
          <w:lang w:val="is-IS"/>
        </w:rPr>
        <w:t xml:space="preserve"> </w:t>
      </w:r>
      <w:r>
        <w:rPr>
          <w:i/>
          <w:szCs w:val="22"/>
          <w:lang w:val="is-IS"/>
        </w:rPr>
        <w:t>of bituminous specimens</w:t>
      </w:r>
      <w:r w:rsidRPr="0063568A">
        <w:rPr>
          <w:i/>
          <w:szCs w:val="22"/>
          <w:lang w:val="is-IS"/>
        </w:rPr>
        <w:t>.</w:t>
      </w:r>
      <w:r>
        <w:rPr>
          <w:szCs w:val="22"/>
          <w:lang w:val="is-IS"/>
        </w:rPr>
        <w:t xml:space="preserve"> Staðlaráð Íslands, Reykjavík</w:t>
      </w:r>
      <w:r w:rsidRPr="004052CF">
        <w:rPr>
          <w:szCs w:val="22"/>
          <w:lang w:val="is-IS"/>
        </w:rPr>
        <w:t>.</w:t>
      </w:r>
    </w:p>
    <w:p w14:paraId="33D080D6" w14:textId="77777777" w:rsidR="00577261" w:rsidRDefault="00577261" w:rsidP="00962F11">
      <w:pPr>
        <w:ind w:left="340" w:hanging="340"/>
        <w:jc w:val="both"/>
        <w:rPr>
          <w:szCs w:val="22"/>
          <w:lang w:val="is-IS"/>
        </w:rPr>
      </w:pPr>
      <w:r w:rsidRPr="0063568A">
        <w:rPr>
          <w:i/>
          <w:szCs w:val="22"/>
          <w:lang w:val="is-IS"/>
        </w:rPr>
        <w:t>Rannsóknir á viðloðunarefnum. 1966.</w:t>
      </w:r>
      <w:r>
        <w:rPr>
          <w:szCs w:val="22"/>
          <w:lang w:val="is-IS"/>
        </w:rPr>
        <w:t xml:space="preserve"> Rannsóknastofnun byggingariðnaðarins, Reykjavík. </w:t>
      </w:r>
    </w:p>
    <w:p w14:paraId="33D080F4" w14:textId="77777777" w:rsidR="0074241B" w:rsidRPr="001C45E6" w:rsidRDefault="0074241B" w:rsidP="00D15FAD">
      <w:pPr>
        <w:pStyle w:val="Heading1"/>
        <w:rPr>
          <w:lang w:val="is-IS"/>
        </w:rPr>
      </w:pPr>
      <w:bookmarkStart w:id="30" w:name="_Toc52974035"/>
      <w:r w:rsidRPr="001C45E6">
        <w:rPr>
          <w:lang w:val="is-IS"/>
        </w:rPr>
        <w:t>FRÓÐLEIKUR UM RÚLLUFLÖSKURPRÓF</w:t>
      </w:r>
      <w:bookmarkEnd w:id="30"/>
    </w:p>
    <w:p w14:paraId="33D080F5" w14:textId="77777777" w:rsidR="0074241B" w:rsidRDefault="0074241B" w:rsidP="0074241B">
      <w:pPr>
        <w:rPr>
          <w:sz w:val="24"/>
          <w:szCs w:val="24"/>
          <w:lang w:val="is-IS"/>
        </w:rPr>
      </w:pPr>
    </w:p>
    <w:p w14:paraId="33D080F6" w14:textId="3E3EB21A" w:rsidR="0074241B" w:rsidRPr="004628EC" w:rsidRDefault="0074241B" w:rsidP="0074241B">
      <w:pPr>
        <w:jc w:val="both"/>
        <w:rPr>
          <w:szCs w:val="22"/>
          <w:lang w:val="is-IS"/>
        </w:rPr>
      </w:pPr>
      <w:r w:rsidRPr="004628EC">
        <w:rPr>
          <w:szCs w:val="22"/>
          <w:lang w:val="is-IS"/>
        </w:rPr>
        <w:t xml:space="preserve">Árið 1986 voru gerðar viðloðunarprófanir á nokkrum efnum með rúlluflöskuprófi [Nordisk Vegteknisk Forbund 1986, bls. 27-29]. Steinefnið var í stærðaflokknum 9,5-11,2 </w:t>
      </w:r>
      <w:r w:rsidR="006709F0">
        <w:rPr>
          <w:szCs w:val="22"/>
          <w:lang w:val="is-IS"/>
        </w:rPr>
        <w:t xml:space="preserve">mm </w:t>
      </w:r>
      <w:r w:rsidRPr="004628EC">
        <w:rPr>
          <w:szCs w:val="22"/>
          <w:lang w:val="is-IS"/>
        </w:rPr>
        <w:t xml:space="preserve">og þrír rannsóknamenn mátu þakninguna. Það var úr ýmsum námum, íslenskum (ÍS), færeyskum (FÆ), norskum (N) og sænskum (SE). Bindiefnið var </w:t>
      </w:r>
      <w:r w:rsidR="00946DD5">
        <w:rPr>
          <w:szCs w:val="22"/>
          <w:lang w:val="is-IS"/>
        </w:rPr>
        <w:t>bik</w:t>
      </w:r>
      <w:r w:rsidRPr="004628EC">
        <w:rPr>
          <w:szCs w:val="22"/>
          <w:lang w:val="is-IS"/>
        </w:rPr>
        <w:t xml:space="preserve"> með stungudýpt um 150</w:t>
      </w:r>
      <w:r w:rsidR="006709F0">
        <w:rPr>
          <w:szCs w:val="22"/>
          <w:lang w:val="is-IS"/>
        </w:rPr>
        <w:t xml:space="preserve"> mm/10</w:t>
      </w:r>
      <w:r w:rsidRPr="004628EC">
        <w:rPr>
          <w:szCs w:val="22"/>
          <w:lang w:val="is-IS"/>
        </w:rPr>
        <w:t xml:space="preserve">. Um viðloðunarefni er ekkert tekið fram, né heldur hvort það </w:t>
      </w:r>
      <w:r>
        <w:rPr>
          <w:szCs w:val="22"/>
          <w:lang w:val="is-IS"/>
        </w:rPr>
        <w:t>var</w:t>
      </w:r>
      <w:r w:rsidRPr="004628EC">
        <w:rPr>
          <w:szCs w:val="22"/>
          <w:lang w:val="is-IS"/>
        </w:rPr>
        <w:t xml:space="preserve"> notað. Niðurstöður eftir 48 klst. prófun eru sýndar í töflu 1. Í sömu töflu eru einnig sýndar niðurstöður kleyfniþolsprófs á vatnsnæmi malbiks úr sömu steinefnum.</w:t>
      </w:r>
    </w:p>
    <w:p w14:paraId="33D080F7" w14:textId="77777777" w:rsidR="0074241B" w:rsidRDefault="0074241B" w:rsidP="004D7B8A">
      <w:pPr>
        <w:jc w:val="both"/>
        <w:rPr>
          <w:sz w:val="24"/>
          <w:szCs w:val="24"/>
          <w:lang w:val="is-IS"/>
        </w:rPr>
      </w:pPr>
    </w:p>
    <w:p w14:paraId="33D080F8" w14:textId="1024258F" w:rsidR="0074241B" w:rsidRPr="004D7B8A" w:rsidRDefault="0074241B" w:rsidP="004D7B8A">
      <w:pPr>
        <w:tabs>
          <w:tab w:val="left" w:pos="7524"/>
        </w:tabs>
        <w:spacing w:after="60"/>
        <w:ind w:left="1026" w:right="885"/>
        <w:jc w:val="both"/>
        <w:rPr>
          <w:sz w:val="20"/>
          <w:lang w:val="is-IS"/>
        </w:rPr>
      </w:pPr>
      <w:r w:rsidRPr="004D7B8A">
        <w:rPr>
          <w:b/>
          <w:sz w:val="20"/>
          <w:lang w:val="is-IS"/>
        </w:rPr>
        <w:t xml:space="preserve">Tafla 1. </w:t>
      </w:r>
      <w:r w:rsidRPr="004D7B8A">
        <w:rPr>
          <w:sz w:val="20"/>
          <w:lang w:val="is-IS"/>
        </w:rPr>
        <w:t>Niðurstöður rúlluflöskuprófs og kleyfniþolsprófs á viðloðun á nokkrum malbiks</w:t>
      </w:r>
      <w:r w:rsidRPr="004D7B8A">
        <w:rPr>
          <w:sz w:val="20"/>
          <w:lang w:val="is-IS"/>
        </w:rPr>
        <w:softHyphen/>
        <w:t xml:space="preserve">efnum með </w:t>
      </w:r>
      <w:r w:rsidR="00946DD5">
        <w:rPr>
          <w:sz w:val="20"/>
          <w:lang w:val="is-IS"/>
        </w:rPr>
        <w:t>bik</w:t>
      </w:r>
      <w:r w:rsidRPr="004D7B8A">
        <w:rPr>
          <w:sz w:val="20"/>
          <w:lang w:val="is-IS"/>
        </w:rPr>
        <w:t xml:space="preserve">i </w:t>
      </w:r>
      <w:r w:rsidR="00BA1293">
        <w:rPr>
          <w:sz w:val="20"/>
          <w:lang w:val="is-IS"/>
        </w:rPr>
        <w:t xml:space="preserve">með stungudýpt </w:t>
      </w:r>
      <w:r w:rsidRPr="004D7B8A">
        <w:rPr>
          <w:sz w:val="20"/>
          <w:lang w:val="is-IS"/>
        </w:rPr>
        <w:t>150</w:t>
      </w:r>
      <w:r w:rsidR="00BA1293">
        <w:rPr>
          <w:sz w:val="20"/>
          <w:lang w:val="is-IS"/>
        </w:rPr>
        <w:t xml:space="preserve"> mm</w:t>
      </w:r>
      <w:r w:rsidR="006709F0">
        <w:rPr>
          <w:sz w:val="20"/>
          <w:lang w:val="is-IS"/>
        </w:rPr>
        <w:t>/10</w:t>
      </w:r>
      <w:r w:rsidRPr="004D7B8A">
        <w:rPr>
          <w:sz w:val="20"/>
          <w:lang w:val="is-IS"/>
        </w:rPr>
        <w:t>. Meðaltal þakningar í rúlluflöskuprófi var metin af þrem mönnum eftir prófun í 48 klst.</w:t>
      </w:r>
    </w:p>
    <w:tbl>
      <w:tblPr>
        <w:tblStyle w:val="TableGrid"/>
        <w:tblW w:w="0" w:type="auto"/>
        <w:jc w:val="center"/>
        <w:tblLook w:val="01E0" w:firstRow="1" w:lastRow="1" w:firstColumn="1" w:lastColumn="1" w:noHBand="0" w:noVBand="0"/>
      </w:tblPr>
      <w:tblGrid>
        <w:gridCol w:w="2331"/>
        <w:gridCol w:w="1070"/>
        <w:gridCol w:w="1297"/>
        <w:gridCol w:w="1800"/>
      </w:tblGrid>
      <w:tr w:rsidR="0074241B" w14:paraId="33D080FF" w14:textId="77777777" w:rsidTr="00C45043">
        <w:trPr>
          <w:jc w:val="center"/>
        </w:trPr>
        <w:tc>
          <w:tcPr>
            <w:tcW w:w="2331" w:type="dxa"/>
            <w:shd w:val="clear" w:color="auto" w:fill="D9E2F3" w:themeFill="accent5" w:themeFillTint="33"/>
          </w:tcPr>
          <w:p w14:paraId="33D080F9" w14:textId="77777777" w:rsidR="0074241B" w:rsidRPr="00C221BD" w:rsidRDefault="0074241B" w:rsidP="00F423B4">
            <w:pPr>
              <w:rPr>
                <w:b/>
                <w:szCs w:val="22"/>
                <w:lang w:val="is-IS"/>
              </w:rPr>
            </w:pPr>
            <w:r w:rsidRPr="00C221BD">
              <w:rPr>
                <w:b/>
                <w:szCs w:val="22"/>
                <w:lang w:val="is-IS"/>
              </w:rPr>
              <w:t>Steinefni</w:t>
            </w:r>
          </w:p>
        </w:tc>
        <w:tc>
          <w:tcPr>
            <w:tcW w:w="1070" w:type="dxa"/>
            <w:shd w:val="clear" w:color="auto" w:fill="D9E2F3" w:themeFill="accent5" w:themeFillTint="33"/>
          </w:tcPr>
          <w:p w14:paraId="33D080FA" w14:textId="77777777" w:rsidR="0074241B" w:rsidRPr="00C221BD" w:rsidRDefault="0074241B" w:rsidP="00F423B4">
            <w:pPr>
              <w:jc w:val="center"/>
              <w:rPr>
                <w:b/>
                <w:szCs w:val="22"/>
                <w:lang w:val="is-IS"/>
              </w:rPr>
            </w:pPr>
            <w:r w:rsidRPr="00C221BD">
              <w:rPr>
                <w:b/>
                <w:szCs w:val="22"/>
                <w:lang w:val="is-IS"/>
              </w:rPr>
              <w:t>Þakning</w:t>
            </w:r>
          </w:p>
          <w:p w14:paraId="33D080FB" w14:textId="77777777" w:rsidR="0074241B" w:rsidRPr="00C221BD" w:rsidRDefault="0074241B" w:rsidP="00F423B4">
            <w:pPr>
              <w:jc w:val="center"/>
              <w:rPr>
                <w:b/>
                <w:szCs w:val="22"/>
                <w:lang w:val="is-IS"/>
              </w:rPr>
            </w:pPr>
            <w:r w:rsidRPr="00C221BD">
              <w:rPr>
                <w:b/>
                <w:szCs w:val="22"/>
                <w:lang w:val="is-IS"/>
              </w:rPr>
              <w:t>[%]</w:t>
            </w:r>
          </w:p>
        </w:tc>
        <w:tc>
          <w:tcPr>
            <w:tcW w:w="1297" w:type="dxa"/>
            <w:shd w:val="clear" w:color="auto" w:fill="D9E2F3" w:themeFill="accent5" w:themeFillTint="33"/>
          </w:tcPr>
          <w:p w14:paraId="33D080FC" w14:textId="77777777" w:rsidR="0074241B" w:rsidRPr="00C221BD" w:rsidRDefault="0074241B" w:rsidP="00F423B4">
            <w:pPr>
              <w:jc w:val="center"/>
              <w:rPr>
                <w:b/>
                <w:szCs w:val="22"/>
                <w:lang w:val="is-IS"/>
              </w:rPr>
            </w:pPr>
            <w:r w:rsidRPr="00C221BD">
              <w:rPr>
                <w:b/>
                <w:szCs w:val="22"/>
                <w:lang w:val="is-IS"/>
              </w:rPr>
              <w:t>Kleyfniþol</w:t>
            </w:r>
          </w:p>
          <w:p w14:paraId="33D080FD" w14:textId="77777777" w:rsidR="0074241B" w:rsidRPr="00C221BD" w:rsidRDefault="0074241B" w:rsidP="00F423B4">
            <w:pPr>
              <w:jc w:val="center"/>
              <w:rPr>
                <w:b/>
                <w:szCs w:val="22"/>
                <w:lang w:val="is-IS"/>
              </w:rPr>
            </w:pPr>
            <w:r w:rsidRPr="00C221BD">
              <w:rPr>
                <w:b/>
                <w:szCs w:val="22"/>
                <w:lang w:val="is-IS"/>
              </w:rPr>
              <w:t>[%]</w:t>
            </w:r>
          </w:p>
        </w:tc>
        <w:tc>
          <w:tcPr>
            <w:tcW w:w="1800" w:type="dxa"/>
            <w:shd w:val="clear" w:color="auto" w:fill="D9E2F3" w:themeFill="accent5" w:themeFillTint="33"/>
          </w:tcPr>
          <w:p w14:paraId="33D080FE" w14:textId="77777777" w:rsidR="0074241B" w:rsidRPr="00C221BD" w:rsidRDefault="0074241B" w:rsidP="00F423B4">
            <w:pPr>
              <w:rPr>
                <w:b/>
                <w:szCs w:val="22"/>
                <w:lang w:val="is-IS"/>
              </w:rPr>
            </w:pPr>
            <w:r w:rsidRPr="00C221BD">
              <w:rPr>
                <w:b/>
                <w:szCs w:val="22"/>
                <w:lang w:val="is-IS"/>
              </w:rPr>
              <w:t>Reynsla</w:t>
            </w:r>
          </w:p>
        </w:tc>
      </w:tr>
      <w:tr w:rsidR="0074241B" w:rsidRPr="004628EC" w14:paraId="33D08104" w14:textId="77777777" w:rsidTr="00C45043">
        <w:trPr>
          <w:jc w:val="center"/>
        </w:trPr>
        <w:tc>
          <w:tcPr>
            <w:tcW w:w="2331" w:type="dxa"/>
            <w:shd w:val="clear" w:color="auto" w:fill="D9E2F3" w:themeFill="accent5" w:themeFillTint="33"/>
          </w:tcPr>
          <w:p w14:paraId="33D08100" w14:textId="77777777" w:rsidR="0074241B" w:rsidRPr="004628EC" w:rsidRDefault="0074241B" w:rsidP="00F423B4">
            <w:pPr>
              <w:rPr>
                <w:szCs w:val="22"/>
                <w:lang w:val="is-IS"/>
              </w:rPr>
            </w:pPr>
            <w:r w:rsidRPr="004628EC">
              <w:rPr>
                <w:szCs w:val="22"/>
                <w:lang w:val="is-IS"/>
              </w:rPr>
              <w:t>Hundsarabotnur (FÆ)</w:t>
            </w:r>
          </w:p>
        </w:tc>
        <w:tc>
          <w:tcPr>
            <w:tcW w:w="1070" w:type="dxa"/>
            <w:shd w:val="clear" w:color="auto" w:fill="FFF2CC" w:themeFill="accent4" w:themeFillTint="33"/>
          </w:tcPr>
          <w:p w14:paraId="33D08101" w14:textId="77777777" w:rsidR="0074241B" w:rsidRPr="004628EC" w:rsidRDefault="0074241B" w:rsidP="00F423B4">
            <w:pPr>
              <w:jc w:val="center"/>
              <w:rPr>
                <w:szCs w:val="22"/>
                <w:lang w:val="is-IS"/>
              </w:rPr>
            </w:pPr>
            <w:r w:rsidRPr="004628EC">
              <w:rPr>
                <w:szCs w:val="22"/>
                <w:lang w:val="is-IS"/>
              </w:rPr>
              <w:t>22</w:t>
            </w:r>
          </w:p>
        </w:tc>
        <w:tc>
          <w:tcPr>
            <w:tcW w:w="1297" w:type="dxa"/>
            <w:shd w:val="clear" w:color="auto" w:fill="FFF2CC" w:themeFill="accent4" w:themeFillTint="33"/>
          </w:tcPr>
          <w:p w14:paraId="33D08102" w14:textId="77777777" w:rsidR="0074241B" w:rsidRPr="004628EC" w:rsidRDefault="0074241B" w:rsidP="00F423B4">
            <w:pPr>
              <w:jc w:val="center"/>
              <w:rPr>
                <w:szCs w:val="22"/>
                <w:lang w:val="is-IS"/>
              </w:rPr>
            </w:pPr>
            <w:r w:rsidRPr="004628EC">
              <w:rPr>
                <w:szCs w:val="22"/>
                <w:lang w:val="is-IS"/>
              </w:rPr>
              <w:t>76</w:t>
            </w:r>
          </w:p>
        </w:tc>
        <w:tc>
          <w:tcPr>
            <w:tcW w:w="1800" w:type="dxa"/>
            <w:shd w:val="clear" w:color="auto" w:fill="FFF2CC" w:themeFill="accent4" w:themeFillTint="33"/>
          </w:tcPr>
          <w:p w14:paraId="33D08103" w14:textId="77777777" w:rsidR="0074241B" w:rsidRPr="004628EC" w:rsidRDefault="0074241B" w:rsidP="00F423B4">
            <w:pPr>
              <w:rPr>
                <w:szCs w:val="22"/>
                <w:lang w:val="is-IS"/>
              </w:rPr>
            </w:pPr>
            <w:r w:rsidRPr="004628EC">
              <w:rPr>
                <w:szCs w:val="22"/>
                <w:lang w:val="is-IS"/>
              </w:rPr>
              <w:t xml:space="preserve">Góð </w:t>
            </w:r>
          </w:p>
        </w:tc>
      </w:tr>
      <w:tr w:rsidR="0074241B" w:rsidRPr="004628EC" w14:paraId="33D08109" w14:textId="77777777" w:rsidTr="00C45043">
        <w:trPr>
          <w:jc w:val="center"/>
        </w:trPr>
        <w:tc>
          <w:tcPr>
            <w:tcW w:w="2331" w:type="dxa"/>
            <w:shd w:val="clear" w:color="auto" w:fill="D9E2F3" w:themeFill="accent5" w:themeFillTint="33"/>
          </w:tcPr>
          <w:p w14:paraId="33D08105" w14:textId="77777777" w:rsidR="0074241B" w:rsidRPr="004628EC" w:rsidRDefault="0074241B" w:rsidP="00F423B4">
            <w:pPr>
              <w:rPr>
                <w:szCs w:val="22"/>
                <w:lang w:val="is-IS"/>
              </w:rPr>
            </w:pPr>
            <w:r w:rsidRPr="004628EC">
              <w:rPr>
                <w:szCs w:val="22"/>
                <w:lang w:val="is-IS"/>
              </w:rPr>
              <w:t>Lambareiði (FÆ)</w:t>
            </w:r>
          </w:p>
        </w:tc>
        <w:tc>
          <w:tcPr>
            <w:tcW w:w="1070" w:type="dxa"/>
            <w:shd w:val="clear" w:color="auto" w:fill="FFF2CC" w:themeFill="accent4" w:themeFillTint="33"/>
          </w:tcPr>
          <w:p w14:paraId="33D08106" w14:textId="77777777" w:rsidR="0074241B" w:rsidRPr="004628EC" w:rsidRDefault="0074241B" w:rsidP="00F423B4">
            <w:pPr>
              <w:jc w:val="center"/>
              <w:rPr>
                <w:szCs w:val="22"/>
                <w:lang w:val="is-IS"/>
              </w:rPr>
            </w:pPr>
            <w:r w:rsidRPr="004628EC">
              <w:rPr>
                <w:szCs w:val="22"/>
                <w:lang w:val="is-IS"/>
              </w:rPr>
              <w:t>7</w:t>
            </w:r>
          </w:p>
        </w:tc>
        <w:tc>
          <w:tcPr>
            <w:tcW w:w="1297" w:type="dxa"/>
            <w:shd w:val="clear" w:color="auto" w:fill="FFF2CC" w:themeFill="accent4" w:themeFillTint="33"/>
          </w:tcPr>
          <w:p w14:paraId="33D08107" w14:textId="77777777" w:rsidR="0074241B" w:rsidRPr="004628EC" w:rsidRDefault="0074241B" w:rsidP="00F423B4">
            <w:pPr>
              <w:jc w:val="center"/>
              <w:rPr>
                <w:szCs w:val="22"/>
                <w:lang w:val="is-IS"/>
              </w:rPr>
            </w:pPr>
            <w:r w:rsidRPr="004628EC">
              <w:rPr>
                <w:szCs w:val="22"/>
                <w:lang w:val="is-IS"/>
              </w:rPr>
              <w:t>26</w:t>
            </w:r>
          </w:p>
        </w:tc>
        <w:tc>
          <w:tcPr>
            <w:tcW w:w="1800" w:type="dxa"/>
            <w:shd w:val="clear" w:color="auto" w:fill="FFF2CC" w:themeFill="accent4" w:themeFillTint="33"/>
          </w:tcPr>
          <w:p w14:paraId="33D08108" w14:textId="77777777" w:rsidR="0074241B" w:rsidRPr="004628EC" w:rsidRDefault="0074241B" w:rsidP="00F423B4">
            <w:pPr>
              <w:rPr>
                <w:szCs w:val="22"/>
                <w:lang w:val="is-IS"/>
              </w:rPr>
            </w:pPr>
            <w:r w:rsidRPr="004628EC">
              <w:rPr>
                <w:szCs w:val="22"/>
                <w:lang w:val="is-IS"/>
              </w:rPr>
              <w:t>Slæm</w:t>
            </w:r>
          </w:p>
        </w:tc>
      </w:tr>
      <w:tr w:rsidR="0074241B" w:rsidRPr="004628EC" w14:paraId="33D0810E" w14:textId="77777777" w:rsidTr="00C45043">
        <w:trPr>
          <w:jc w:val="center"/>
        </w:trPr>
        <w:tc>
          <w:tcPr>
            <w:tcW w:w="2331" w:type="dxa"/>
            <w:shd w:val="clear" w:color="auto" w:fill="D9E2F3" w:themeFill="accent5" w:themeFillTint="33"/>
          </w:tcPr>
          <w:p w14:paraId="33D0810A" w14:textId="77777777" w:rsidR="0074241B" w:rsidRPr="004628EC" w:rsidRDefault="0074241B" w:rsidP="00F423B4">
            <w:pPr>
              <w:rPr>
                <w:szCs w:val="22"/>
                <w:lang w:val="is-IS"/>
              </w:rPr>
            </w:pPr>
            <w:r w:rsidRPr="004628EC">
              <w:rPr>
                <w:szCs w:val="22"/>
                <w:lang w:val="is-IS"/>
              </w:rPr>
              <w:t>Porkeri (FÆ)</w:t>
            </w:r>
          </w:p>
        </w:tc>
        <w:tc>
          <w:tcPr>
            <w:tcW w:w="1070" w:type="dxa"/>
            <w:shd w:val="clear" w:color="auto" w:fill="FFF2CC" w:themeFill="accent4" w:themeFillTint="33"/>
          </w:tcPr>
          <w:p w14:paraId="33D0810B" w14:textId="77777777" w:rsidR="0074241B" w:rsidRPr="004628EC" w:rsidRDefault="0074241B" w:rsidP="00F423B4">
            <w:pPr>
              <w:jc w:val="center"/>
              <w:rPr>
                <w:szCs w:val="22"/>
                <w:lang w:val="is-IS"/>
              </w:rPr>
            </w:pPr>
            <w:r w:rsidRPr="004628EC">
              <w:rPr>
                <w:szCs w:val="22"/>
                <w:lang w:val="is-IS"/>
              </w:rPr>
              <w:t>45</w:t>
            </w:r>
          </w:p>
        </w:tc>
        <w:tc>
          <w:tcPr>
            <w:tcW w:w="1297" w:type="dxa"/>
            <w:shd w:val="clear" w:color="auto" w:fill="FFF2CC" w:themeFill="accent4" w:themeFillTint="33"/>
          </w:tcPr>
          <w:p w14:paraId="33D0810C" w14:textId="77777777" w:rsidR="0074241B" w:rsidRPr="004628EC" w:rsidRDefault="0074241B" w:rsidP="00F423B4">
            <w:pPr>
              <w:jc w:val="center"/>
              <w:rPr>
                <w:szCs w:val="22"/>
                <w:lang w:val="is-IS"/>
              </w:rPr>
            </w:pPr>
            <w:r w:rsidRPr="004628EC">
              <w:rPr>
                <w:szCs w:val="22"/>
                <w:lang w:val="is-IS"/>
              </w:rPr>
              <w:t>92</w:t>
            </w:r>
          </w:p>
        </w:tc>
        <w:tc>
          <w:tcPr>
            <w:tcW w:w="1800" w:type="dxa"/>
            <w:shd w:val="clear" w:color="auto" w:fill="FFF2CC" w:themeFill="accent4" w:themeFillTint="33"/>
          </w:tcPr>
          <w:p w14:paraId="33D0810D" w14:textId="77777777" w:rsidR="0074241B" w:rsidRPr="004628EC" w:rsidRDefault="0074241B" w:rsidP="00F423B4">
            <w:pPr>
              <w:rPr>
                <w:szCs w:val="22"/>
                <w:lang w:val="is-IS"/>
              </w:rPr>
            </w:pPr>
            <w:r w:rsidRPr="004628EC">
              <w:rPr>
                <w:szCs w:val="22"/>
                <w:lang w:val="is-IS"/>
              </w:rPr>
              <w:t>Góð</w:t>
            </w:r>
          </w:p>
        </w:tc>
      </w:tr>
      <w:tr w:rsidR="0074241B" w:rsidRPr="004628EC" w14:paraId="33D08113" w14:textId="77777777" w:rsidTr="00C45043">
        <w:trPr>
          <w:jc w:val="center"/>
        </w:trPr>
        <w:tc>
          <w:tcPr>
            <w:tcW w:w="2331" w:type="dxa"/>
            <w:shd w:val="clear" w:color="auto" w:fill="D9E2F3" w:themeFill="accent5" w:themeFillTint="33"/>
          </w:tcPr>
          <w:p w14:paraId="33D0810F" w14:textId="77777777" w:rsidR="0074241B" w:rsidRPr="004628EC" w:rsidRDefault="001F0FB6" w:rsidP="00F423B4">
            <w:pPr>
              <w:rPr>
                <w:szCs w:val="22"/>
                <w:lang w:val="is-IS"/>
              </w:rPr>
            </w:pPr>
            <w:r>
              <w:rPr>
                <w:szCs w:val="22"/>
                <w:lang w:val="is-IS"/>
              </w:rPr>
              <w:t>Björgun</w:t>
            </w:r>
            <w:r w:rsidR="0074241B" w:rsidRPr="004628EC">
              <w:rPr>
                <w:szCs w:val="22"/>
                <w:lang w:val="is-IS"/>
              </w:rPr>
              <w:t xml:space="preserve"> (IS)</w:t>
            </w:r>
          </w:p>
        </w:tc>
        <w:tc>
          <w:tcPr>
            <w:tcW w:w="1070" w:type="dxa"/>
            <w:shd w:val="clear" w:color="auto" w:fill="FFF2CC" w:themeFill="accent4" w:themeFillTint="33"/>
          </w:tcPr>
          <w:p w14:paraId="33D08110" w14:textId="77777777" w:rsidR="0074241B" w:rsidRPr="004628EC" w:rsidRDefault="0074241B" w:rsidP="00F423B4">
            <w:pPr>
              <w:jc w:val="center"/>
              <w:rPr>
                <w:szCs w:val="22"/>
                <w:lang w:val="is-IS"/>
              </w:rPr>
            </w:pPr>
            <w:r w:rsidRPr="004628EC">
              <w:rPr>
                <w:szCs w:val="22"/>
                <w:lang w:val="is-IS"/>
              </w:rPr>
              <w:t>3</w:t>
            </w:r>
          </w:p>
        </w:tc>
        <w:tc>
          <w:tcPr>
            <w:tcW w:w="1297" w:type="dxa"/>
            <w:shd w:val="clear" w:color="auto" w:fill="FFF2CC" w:themeFill="accent4" w:themeFillTint="33"/>
          </w:tcPr>
          <w:p w14:paraId="33D08111" w14:textId="77777777" w:rsidR="0074241B" w:rsidRPr="004628EC" w:rsidRDefault="0074241B" w:rsidP="00F423B4">
            <w:pPr>
              <w:jc w:val="center"/>
              <w:rPr>
                <w:szCs w:val="22"/>
                <w:lang w:val="is-IS"/>
              </w:rPr>
            </w:pPr>
            <w:r w:rsidRPr="004628EC">
              <w:rPr>
                <w:szCs w:val="22"/>
                <w:lang w:val="is-IS"/>
              </w:rPr>
              <w:t>50</w:t>
            </w:r>
          </w:p>
        </w:tc>
        <w:tc>
          <w:tcPr>
            <w:tcW w:w="1800" w:type="dxa"/>
            <w:shd w:val="clear" w:color="auto" w:fill="FFF2CC" w:themeFill="accent4" w:themeFillTint="33"/>
          </w:tcPr>
          <w:p w14:paraId="33D08112" w14:textId="77777777" w:rsidR="0074241B" w:rsidRPr="004628EC" w:rsidRDefault="0074241B" w:rsidP="00F423B4">
            <w:pPr>
              <w:rPr>
                <w:szCs w:val="22"/>
                <w:lang w:val="is-IS"/>
              </w:rPr>
            </w:pPr>
            <w:r w:rsidRPr="004628EC">
              <w:rPr>
                <w:szCs w:val="22"/>
                <w:lang w:val="is-IS"/>
              </w:rPr>
              <w:t>Miðlungs</w:t>
            </w:r>
          </w:p>
        </w:tc>
      </w:tr>
      <w:tr w:rsidR="0074241B" w:rsidRPr="004628EC" w14:paraId="33D08118" w14:textId="77777777" w:rsidTr="00C45043">
        <w:trPr>
          <w:jc w:val="center"/>
        </w:trPr>
        <w:tc>
          <w:tcPr>
            <w:tcW w:w="2331" w:type="dxa"/>
            <w:shd w:val="clear" w:color="auto" w:fill="D9E2F3" w:themeFill="accent5" w:themeFillTint="33"/>
          </w:tcPr>
          <w:p w14:paraId="33D08114" w14:textId="77777777" w:rsidR="0074241B" w:rsidRPr="004628EC" w:rsidRDefault="0074241B" w:rsidP="00F423B4">
            <w:pPr>
              <w:rPr>
                <w:szCs w:val="22"/>
                <w:lang w:val="is-IS"/>
              </w:rPr>
            </w:pPr>
            <w:r w:rsidRPr="004628EC">
              <w:rPr>
                <w:szCs w:val="22"/>
                <w:lang w:val="is-IS"/>
              </w:rPr>
              <w:t>Selás (IS)</w:t>
            </w:r>
          </w:p>
        </w:tc>
        <w:tc>
          <w:tcPr>
            <w:tcW w:w="1070" w:type="dxa"/>
            <w:shd w:val="clear" w:color="auto" w:fill="FFF2CC" w:themeFill="accent4" w:themeFillTint="33"/>
          </w:tcPr>
          <w:p w14:paraId="33D08115" w14:textId="77777777" w:rsidR="0074241B" w:rsidRPr="004628EC" w:rsidRDefault="0074241B" w:rsidP="00F423B4">
            <w:pPr>
              <w:jc w:val="center"/>
              <w:rPr>
                <w:szCs w:val="22"/>
                <w:lang w:val="is-IS"/>
              </w:rPr>
            </w:pPr>
            <w:r w:rsidRPr="004628EC">
              <w:rPr>
                <w:szCs w:val="22"/>
                <w:lang w:val="is-IS"/>
              </w:rPr>
              <w:t>9</w:t>
            </w:r>
          </w:p>
        </w:tc>
        <w:tc>
          <w:tcPr>
            <w:tcW w:w="1297" w:type="dxa"/>
            <w:shd w:val="clear" w:color="auto" w:fill="FFF2CC" w:themeFill="accent4" w:themeFillTint="33"/>
          </w:tcPr>
          <w:p w14:paraId="33D08116" w14:textId="77777777" w:rsidR="0074241B" w:rsidRPr="004628EC" w:rsidRDefault="0074241B" w:rsidP="00F423B4">
            <w:pPr>
              <w:jc w:val="center"/>
              <w:rPr>
                <w:szCs w:val="22"/>
                <w:lang w:val="is-IS"/>
              </w:rPr>
            </w:pPr>
            <w:r w:rsidRPr="004628EC">
              <w:rPr>
                <w:szCs w:val="22"/>
                <w:lang w:val="is-IS"/>
              </w:rPr>
              <w:t>74</w:t>
            </w:r>
          </w:p>
        </w:tc>
        <w:tc>
          <w:tcPr>
            <w:tcW w:w="1800" w:type="dxa"/>
            <w:shd w:val="clear" w:color="auto" w:fill="FFF2CC" w:themeFill="accent4" w:themeFillTint="33"/>
          </w:tcPr>
          <w:p w14:paraId="33D08117" w14:textId="77777777" w:rsidR="0074241B" w:rsidRPr="004628EC" w:rsidRDefault="0074241B" w:rsidP="00F423B4">
            <w:pPr>
              <w:rPr>
                <w:szCs w:val="22"/>
                <w:lang w:val="is-IS"/>
              </w:rPr>
            </w:pPr>
            <w:r w:rsidRPr="004628EC">
              <w:rPr>
                <w:szCs w:val="22"/>
                <w:lang w:val="is-IS"/>
              </w:rPr>
              <w:t>Góð</w:t>
            </w:r>
          </w:p>
        </w:tc>
      </w:tr>
      <w:tr w:rsidR="0074241B" w:rsidRPr="004628EC" w14:paraId="33D0811D" w14:textId="77777777" w:rsidTr="00C45043">
        <w:trPr>
          <w:jc w:val="center"/>
        </w:trPr>
        <w:tc>
          <w:tcPr>
            <w:tcW w:w="2331" w:type="dxa"/>
            <w:shd w:val="clear" w:color="auto" w:fill="D9E2F3" w:themeFill="accent5" w:themeFillTint="33"/>
          </w:tcPr>
          <w:p w14:paraId="33D08119" w14:textId="77777777" w:rsidR="0074241B" w:rsidRPr="004628EC" w:rsidRDefault="0074241B" w:rsidP="00F423B4">
            <w:pPr>
              <w:rPr>
                <w:szCs w:val="22"/>
                <w:lang w:val="is-IS"/>
              </w:rPr>
            </w:pPr>
            <w:r w:rsidRPr="004628EC">
              <w:rPr>
                <w:szCs w:val="22"/>
                <w:lang w:val="is-IS"/>
              </w:rPr>
              <w:t>Snasi (IS)</w:t>
            </w:r>
          </w:p>
        </w:tc>
        <w:tc>
          <w:tcPr>
            <w:tcW w:w="1070" w:type="dxa"/>
            <w:shd w:val="clear" w:color="auto" w:fill="FFF2CC" w:themeFill="accent4" w:themeFillTint="33"/>
          </w:tcPr>
          <w:p w14:paraId="33D0811A" w14:textId="77777777" w:rsidR="0074241B" w:rsidRPr="004628EC" w:rsidRDefault="0074241B" w:rsidP="00F423B4">
            <w:pPr>
              <w:jc w:val="center"/>
              <w:rPr>
                <w:szCs w:val="22"/>
                <w:lang w:val="is-IS"/>
              </w:rPr>
            </w:pPr>
            <w:r w:rsidRPr="004628EC">
              <w:rPr>
                <w:szCs w:val="22"/>
                <w:lang w:val="is-IS"/>
              </w:rPr>
              <w:t>33</w:t>
            </w:r>
          </w:p>
        </w:tc>
        <w:tc>
          <w:tcPr>
            <w:tcW w:w="1297" w:type="dxa"/>
            <w:shd w:val="clear" w:color="auto" w:fill="FFF2CC" w:themeFill="accent4" w:themeFillTint="33"/>
          </w:tcPr>
          <w:p w14:paraId="33D0811B" w14:textId="77777777" w:rsidR="0074241B" w:rsidRPr="004628EC" w:rsidRDefault="0074241B" w:rsidP="00F423B4">
            <w:pPr>
              <w:jc w:val="center"/>
              <w:rPr>
                <w:szCs w:val="22"/>
                <w:lang w:val="is-IS"/>
              </w:rPr>
            </w:pPr>
            <w:r w:rsidRPr="004628EC">
              <w:rPr>
                <w:szCs w:val="22"/>
                <w:lang w:val="is-IS"/>
              </w:rPr>
              <w:t>98</w:t>
            </w:r>
          </w:p>
        </w:tc>
        <w:tc>
          <w:tcPr>
            <w:tcW w:w="1800" w:type="dxa"/>
            <w:shd w:val="clear" w:color="auto" w:fill="FFF2CC" w:themeFill="accent4" w:themeFillTint="33"/>
          </w:tcPr>
          <w:p w14:paraId="33D0811C" w14:textId="77777777" w:rsidR="0074241B" w:rsidRPr="004628EC" w:rsidRDefault="0074241B" w:rsidP="00F423B4">
            <w:pPr>
              <w:rPr>
                <w:szCs w:val="22"/>
                <w:lang w:val="is-IS"/>
              </w:rPr>
            </w:pPr>
            <w:r w:rsidRPr="004628EC">
              <w:rPr>
                <w:szCs w:val="22"/>
                <w:lang w:val="is-IS"/>
              </w:rPr>
              <w:t>Góð</w:t>
            </w:r>
          </w:p>
        </w:tc>
      </w:tr>
      <w:tr w:rsidR="0074241B" w:rsidRPr="004628EC" w14:paraId="33D08122" w14:textId="77777777" w:rsidTr="00C45043">
        <w:trPr>
          <w:jc w:val="center"/>
        </w:trPr>
        <w:tc>
          <w:tcPr>
            <w:tcW w:w="2331" w:type="dxa"/>
            <w:shd w:val="clear" w:color="auto" w:fill="D9E2F3" w:themeFill="accent5" w:themeFillTint="33"/>
          </w:tcPr>
          <w:p w14:paraId="33D0811E" w14:textId="77777777" w:rsidR="0074241B" w:rsidRPr="004628EC" w:rsidRDefault="0074241B" w:rsidP="00F423B4">
            <w:pPr>
              <w:rPr>
                <w:szCs w:val="22"/>
                <w:lang w:val="is-IS"/>
              </w:rPr>
            </w:pPr>
            <w:r w:rsidRPr="004628EC">
              <w:rPr>
                <w:szCs w:val="22"/>
                <w:lang w:val="is-IS"/>
              </w:rPr>
              <w:t>Stapafell (IS)</w:t>
            </w:r>
          </w:p>
        </w:tc>
        <w:tc>
          <w:tcPr>
            <w:tcW w:w="1070" w:type="dxa"/>
            <w:shd w:val="clear" w:color="auto" w:fill="FFF2CC" w:themeFill="accent4" w:themeFillTint="33"/>
          </w:tcPr>
          <w:p w14:paraId="33D0811F" w14:textId="77777777" w:rsidR="0074241B" w:rsidRPr="004628EC" w:rsidRDefault="0074241B" w:rsidP="00F423B4">
            <w:pPr>
              <w:jc w:val="center"/>
              <w:rPr>
                <w:szCs w:val="22"/>
                <w:lang w:val="is-IS"/>
              </w:rPr>
            </w:pPr>
            <w:r w:rsidRPr="004628EC">
              <w:rPr>
                <w:szCs w:val="22"/>
                <w:lang w:val="is-IS"/>
              </w:rPr>
              <w:t>7</w:t>
            </w:r>
          </w:p>
        </w:tc>
        <w:tc>
          <w:tcPr>
            <w:tcW w:w="1297" w:type="dxa"/>
            <w:shd w:val="clear" w:color="auto" w:fill="FFF2CC" w:themeFill="accent4" w:themeFillTint="33"/>
          </w:tcPr>
          <w:p w14:paraId="33D08120" w14:textId="77777777" w:rsidR="0074241B" w:rsidRPr="004628EC" w:rsidRDefault="0074241B" w:rsidP="00F423B4">
            <w:pPr>
              <w:jc w:val="center"/>
              <w:rPr>
                <w:szCs w:val="22"/>
                <w:lang w:val="is-IS"/>
              </w:rPr>
            </w:pPr>
            <w:r w:rsidRPr="004628EC">
              <w:rPr>
                <w:szCs w:val="22"/>
                <w:lang w:val="is-IS"/>
              </w:rPr>
              <w:t>66</w:t>
            </w:r>
          </w:p>
        </w:tc>
        <w:tc>
          <w:tcPr>
            <w:tcW w:w="1800" w:type="dxa"/>
            <w:shd w:val="clear" w:color="auto" w:fill="FFF2CC" w:themeFill="accent4" w:themeFillTint="33"/>
          </w:tcPr>
          <w:p w14:paraId="33D08121" w14:textId="77777777" w:rsidR="0074241B" w:rsidRPr="004628EC" w:rsidRDefault="0074241B" w:rsidP="00F423B4">
            <w:pPr>
              <w:rPr>
                <w:szCs w:val="22"/>
                <w:lang w:val="is-IS"/>
              </w:rPr>
            </w:pPr>
            <w:r w:rsidRPr="004628EC">
              <w:rPr>
                <w:szCs w:val="22"/>
                <w:lang w:val="is-IS"/>
              </w:rPr>
              <w:t>Miðlungs</w:t>
            </w:r>
          </w:p>
        </w:tc>
      </w:tr>
      <w:tr w:rsidR="0074241B" w:rsidRPr="004628EC" w14:paraId="33D08127" w14:textId="77777777" w:rsidTr="00C45043">
        <w:trPr>
          <w:jc w:val="center"/>
        </w:trPr>
        <w:tc>
          <w:tcPr>
            <w:tcW w:w="2331" w:type="dxa"/>
            <w:shd w:val="clear" w:color="auto" w:fill="D9E2F3" w:themeFill="accent5" w:themeFillTint="33"/>
          </w:tcPr>
          <w:p w14:paraId="33D08123" w14:textId="77777777" w:rsidR="0074241B" w:rsidRPr="004628EC" w:rsidRDefault="0074241B" w:rsidP="00F423B4">
            <w:pPr>
              <w:rPr>
                <w:szCs w:val="22"/>
                <w:lang w:val="is-IS"/>
              </w:rPr>
            </w:pPr>
            <w:r w:rsidRPr="004628EC">
              <w:rPr>
                <w:szCs w:val="22"/>
                <w:lang w:val="is-IS"/>
              </w:rPr>
              <w:t>Vatnsskarð (IS)</w:t>
            </w:r>
          </w:p>
        </w:tc>
        <w:tc>
          <w:tcPr>
            <w:tcW w:w="1070" w:type="dxa"/>
            <w:shd w:val="clear" w:color="auto" w:fill="FFF2CC" w:themeFill="accent4" w:themeFillTint="33"/>
          </w:tcPr>
          <w:p w14:paraId="33D08124" w14:textId="77777777" w:rsidR="0074241B" w:rsidRPr="004628EC" w:rsidRDefault="0074241B" w:rsidP="00F423B4">
            <w:pPr>
              <w:jc w:val="center"/>
              <w:rPr>
                <w:szCs w:val="22"/>
                <w:lang w:val="is-IS"/>
              </w:rPr>
            </w:pPr>
            <w:r w:rsidRPr="004628EC">
              <w:rPr>
                <w:szCs w:val="22"/>
                <w:lang w:val="is-IS"/>
              </w:rPr>
              <w:t>5</w:t>
            </w:r>
          </w:p>
        </w:tc>
        <w:tc>
          <w:tcPr>
            <w:tcW w:w="1297" w:type="dxa"/>
            <w:shd w:val="clear" w:color="auto" w:fill="FFF2CC" w:themeFill="accent4" w:themeFillTint="33"/>
          </w:tcPr>
          <w:p w14:paraId="33D08125" w14:textId="77777777" w:rsidR="0074241B" w:rsidRPr="004628EC" w:rsidRDefault="0074241B" w:rsidP="00F423B4">
            <w:pPr>
              <w:jc w:val="center"/>
              <w:rPr>
                <w:szCs w:val="22"/>
                <w:lang w:val="is-IS"/>
              </w:rPr>
            </w:pPr>
            <w:r w:rsidRPr="004628EC">
              <w:rPr>
                <w:szCs w:val="22"/>
                <w:lang w:val="is-IS"/>
              </w:rPr>
              <w:t>65</w:t>
            </w:r>
          </w:p>
        </w:tc>
        <w:tc>
          <w:tcPr>
            <w:tcW w:w="1800" w:type="dxa"/>
            <w:shd w:val="clear" w:color="auto" w:fill="FFF2CC" w:themeFill="accent4" w:themeFillTint="33"/>
          </w:tcPr>
          <w:p w14:paraId="33D08126" w14:textId="77777777" w:rsidR="0074241B" w:rsidRPr="004628EC" w:rsidRDefault="0074241B" w:rsidP="00F423B4">
            <w:pPr>
              <w:rPr>
                <w:szCs w:val="22"/>
                <w:lang w:val="is-IS"/>
              </w:rPr>
            </w:pPr>
            <w:r w:rsidRPr="004628EC">
              <w:rPr>
                <w:szCs w:val="22"/>
                <w:lang w:val="is-IS"/>
              </w:rPr>
              <w:t>Lítið slitþol</w:t>
            </w:r>
          </w:p>
        </w:tc>
      </w:tr>
      <w:tr w:rsidR="0074241B" w:rsidRPr="004628EC" w14:paraId="33D0812C" w14:textId="77777777" w:rsidTr="00C45043">
        <w:trPr>
          <w:jc w:val="center"/>
        </w:trPr>
        <w:tc>
          <w:tcPr>
            <w:tcW w:w="2331" w:type="dxa"/>
            <w:shd w:val="clear" w:color="auto" w:fill="D9E2F3" w:themeFill="accent5" w:themeFillTint="33"/>
          </w:tcPr>
          <w:p w14:paraId="33D08128" w14:textId="77777777" w:rsidR="0074241B" w:rsidRPr="004628EC" w:rsidRDefault="0074241B" w:rsidP="00F423B4">
            <w:pPr>
              <w:rPr>
                <w:szCs w:val="22"/>
                <w:lang w:val="is-IS"/>
              </w:rPr>
            </w:pPr>
            <w:r w:rsidRPr="004628EC">
              <w:rPr>
                <w:szCs w:val="22"/>
                <w:lang w:val="is-IS"/>
              </w:rPr>
              <w:t>Skyggestein (N)</w:t>
            </w:r>
          </w:p>
        </w:tc>
        <w:tc>
          <w:tcPr>
            <w:tcW w:w="1070" w:type="dxa"/>
            <w:shd w:val="clear" w:color="auto" w:fill="FFF2CC" w:themeFill="accent4" w:themeFillTint="33"/>
          </w:tcPr>
          <w:p w14:paraId="33D08129" w14:textId="77777777" w:rsidR="0074241B" w:rsidRPr="004628EC" w:rsidRDefault="0074241B" w:rsidP="00F423B4">
            <w:pPr>
              <w:jc w:val="center"/>
              <w:rPr>
                <w:szCs w:val="22"/>
                <w:lang w:val="is-IS"/>
              </w:rPr>
            </w:pPr>
            <w:r w:rsidRPr="004628EC">
              <w:rPr>
                <w:szCs w:val="22"/>
                <w:lang w:val="is-IS"/>
              </w:rPr>
              <w:t>40</w:t>
            </w:r>
          </w:p>
        </w:tc>
        <w:tc>
          <w:tcPr>
            <w:tcW w:w="1297" w:type="dxa"/>
            <w:shd w:val="clear" w:color="auto" w:fill="FFF2CC" w:themeFill="accent4" w:themeFillTint="33"/>
          </w:tcPr>
          <w:p w14:paraId="33D0812A" w14:textId="77777777" w:rsidR="0074241B" w:rsidRPr="004628EC" w:rsidRDefault="0074241B" w:rsidP="00F423B4">
            <w:pPr>
              <w:jc w:val="center"/>
              <w:rPr>
                <w:szCs w:val="22"/>
                <w:lang w:val="is-IS"/>
              </w:rPr>
            </w:pPr>
            <w:r w:rsidRPr="004628EC">
              <w:rPr>
                <w:szCs w:val="22"/>
                <w:lang w:val="is-IS"/>
              </w:rPr>
              <w:t>58</w:t>
            </w:r>
          </w:p>
        </w:tc>
        <w:tc>
          <w:tcPr>
            <w:tcW w:w="1800" w:type="dxa"/>
            <w:shd w:val="clear" w:color="auto" w:fill="FFF2CC" w:themeFill="accent4" w:themeFillTint="33"/>
          </w:tcPr>
          <w:p w14:paraId="33D0812B" w14:textId="77777777" w:rsidR="0074241B" w:rsidRPr="004628EC" w:rsidRDefault="0074241B" w:rsidP="00F423B4">
            <w:pPr>
              <w:rPr>
                <w:szCs w:val="22"/>
                <w:lang w:val="is-IS"/>
              </w:rPr>
            </w:pPr>
            <w:r w:rsidRPr="004628EC">
              <w:rPr>
                <w:szCs w:val="22"/>
                <w:lang w:val="is-IS"/>
              </w:rPr>
              <w:t>Lítið slitþol</w:t>
            </w:r>
          </w:p>
        </w:tc>
      </w:tr>
      <w:tr w:rsidR="0074241B" w:rsidRPr="004628EC" w14:paraId="33D08131" w14:textId="77777777" w:rsidTr="00C45043">
        <w:trPr>
          <w:jc w:val="center"/>
        </w:trPr>
        <w:tc>
          <w:tcPr>
            <w:tcW w:w="2331" w:type="dxa"/>
            <w:shd w:val="clear" w:color="auto" w:fill="D9E2F3" w:themeFill="accent5" w:themeFillTint="33"/>
          </w:tcPr>
          <w:p w14:paraId="33D0812D" w14:textId="77777777" w:rsidR="0074241B" w:rsidRPr="004628EC" w:rsidRDefault="0074241B" w:rsidP="00F423B4">
            <w:pPr>
              <w:rPr>
                <w:szCs w:val="22"/>
                <w:lang w:val="is-IS"/>
              </w:rPr>
            </w:pPr>
            <w:r w:rsidRPr="004628EC">
              <w:rPr>
                <w:szCs w:val="22"/>
                <w:lang w:val="is-IS"/>
              </w:rPr>
              <w:t>Steinshögda (N)</w:t>
            </w:r>
          </w:p>
        </w:tc>
        <w:tc>
          <w:tcPr>
            <w:tcW w:w="1070" w:type="dxa"/>
            <w:shd w:val="clear" w:color="auto" w:fill="FFF2CC" w:themeFill="accent4" w:themeFillTint="33"/>
          </w:tcPr>
          <w:p w14:paraId="33D0812E" w14:textId="77777777" w:rsidR="0074241B" w:rsidRPr="004628EC" w:rsidRDefault="0074241B" w:rsidP="00F423B4">
            <w:pPr>
              <w:jc w:val="center"/>
              <w:rPr>
                <w:szCs w:val="22"/>
                <w:lang w:val="is-IS"/>
              </w:rPr>
            </w:pPr>
            <w:r w:rsidRPr="004628EC">
              <w:rPr>
                <w:szCs w:val="22"/>
                <w:lang w:val="is-IS"/>
              </w:rPr>
              <w:t>26</w:t>
            </w:r>
          </w:p>
        </w:tc>
        <w:tc>
          <w:tcPr>
            <w:tcW w:w="1297" w:type="dxa"/>
            <w:shd w:val="clear" w:color="auto" w:fill="FFF2CC" w:themeFill="accent4" w:themeFillTint="33"/>
          </w:tcPr>
          <w:p w14:paraId="33D0812F" w14:textId="77777777" w:rsidR="0074241B" w:rsidRPr="004628EC" w:rsidRDefault="0074241B" w:rsidP="00F423B4">
            <w:pPr>
              <w:jc w:val="center"/>
              <w:rPr>
                <w:szCs w:val="22"/>
                <w:lang w:val="is-IS"/>
              </w:rPr>
            </w:pPr>
            <w:r w:rsidRPr="004628EC">
              <w:rPr>
                <w:szCs w:val="22"/>
                <w:lang w:val="is-IS"/>
              </w:rPr>
              <w:t>75</w:t>
            </w:r>
          </w:p>
        </w:tc>
        <w:tc>
          <w:tcPr>
            <w:tcW w:w="1800" w:type="dxa"/>
            <w:shd w:val="clear" w:color="auto" w:fill="FFF2CC" w:themeFill="accent4" w:themeFillTint="33"/>
          </w:tcPr>
          <w:p w14:paraId="33D08130" w14:textId="77777777" w:rsidR="0074241B" w:rsidRPr="004628EC" w:rsidRDefault="0074241B" w:rsidP="00F423B4">
            <w:pPr>
              <w:rPr>
                <w:szCs w:val="22"/>
                <w:lang w:val="is-IS"/>
              </w:rPr>
            </w:pPr>
            <w:r w:rsidRPr="004628EC">
              <w:rPr>
                <w:szCs w:val="22"/>
                <w:lang w:val="is-IS"/>
              </w:rPr>
              <w:t>Góð</w:t>
            </w:r>
          </w:p>
        </w:tc>
      </w:tr>
      <w:tr w:rsidR="0074241B" w:rsidRPr="004628EC" w14:paraId="33D08136" w14:textId="77777777" w:rsidTr="00C45043">
        <w:trPr>
          <w:jc w:val="center"/>
        </w:trPr>
        <w:tc>
          <w:tcPr>
            <w:tcW w:w="2331" w:type="dxa"/>
            <w:shd w:val="clear" w:color="auto" w:fill="D9E2F3" w:themeFill="accent5" w:themeFillTint="33"/>
          </w:tcPr>
          <w:p w14:paraId="33D08132" w14:textId="77777777" w:rsidR="0074241B" w:rsidRPr="004628EC" w:rsidRDefault="0074241B" w:rsidP="00F423B4">
            <w:pPr>
              <w:rPr>
                <w:szCs w:val="22"/>
                <w:lang w:val="is-IS"/>
              </w:rPr>
            </w:pPr>
            <w:r w:rsidRPr="004628EC">
              <w:rPr>
                <w:szCs w:val="22"/>
                <w:lang w:val="is-IS"/>
              </w:rPr>
              <w:t>Granít (SE)</w:t>
            </w:r>
          </w:p>
        </w:tc>
        <w:tc>
          <w:tcPr>
            <w:tcW w:w="1070" w:type="dxa"/>
            <w:shd w:val="clear" w:color="auto" w:fill="FFF2CC" w:themeFill="accent4" w:themeFillTint="33"/>
          </w:tcPr>
          <w:p w14:paraId="33D08133" w14:textId="77777777" w:rsidR="0074241B" w:rsidRPr="004628EC" w:rsidRDefault="0074241B" w:rsidP="00F423B4">
            <w:pPr>
              <w:jc w:val="center"/>
              <w:rPr>
                <w:szCs w:val="22"/>
                <w:lang w:val="is-IS"/>
              </w:rPr>
            </w:pPr>
            <w:r w:rsidRPr="004628EC">
              <w:rPr>
                <w:szCs w:val="22"/>
                <w:lang w:val="is-IS"/>
              </w:rPr>
              <w:t>19</w:t>
            </w:r>
          </w:p>
        </w:tc>
        <w:tc>
          <w:tcPr>
            <w:tcW w:w="1297" w:type="dxa"/>
            <w:shd w:val="clear" w:color="auto" w:fill="FFF2CC" w:themeFill="accent4" w:themeFillTint="33"/>
          </w:tcPr>
          <w:p w14:paraId="33D08134" w14:textId="77777777" w:rsidR="0074241B" w:rsidRPr="004628EC" w:rsidRDefault="0074241B" w:rsidP="00F423B4">
            <w:pPr>
              <w:jc w:val="center"/>
              <w:rPr>
                <w:szCs w:val="22"/>
                <w:lang w:val="is-IS"/>
              </w:rPr>
            </w:pPr>
            <w:r w:rsidRPr="004628EC">
              <w:rPr>
                <w:szCs w:val="22"/>
                <w:lang w:val="is-IS"/>
              </w:rPr>
              <w:t>71</w:t>
            </w:r>
          </w:p>
        </w:tc>
        <w:tc>
          <w:tcPr>
            <w:tcW w:w="1800" w:type="dxa"/>
            <w:shd w:val="clear" w:color="auto" w:fill="FFF2CC" w:themeFill="accent4" w:themeFillTint="33"/>
          </w:tcPr>
          <w:p w14:paraId="33D08135" w14:textId="77777777" w:rsidR="0074241B" w:rsidRPr="004628EC" w:rsidRDefault="0074241B" w:rsidP="00F423B4">
            <w:pPr>
              <w:rPr>
                <w:szCs w:val="22"/>
                <w:lang w:val="is-IS"/>
              </w:rPr>
            </w:pPr>
            <w:r w:rsidRPr="004628EC">
              <w:rPr>
                <w:szCs w:val="22"/>
                <w:lang w:val="is-IS"/>
              </w:rPr>
              <w:t>Óvíst</w:t>
            </w:r>
          </w:p>
        </w:tc>
      </w:tr>
      <w:tr w:rsidR="0074241B" w:rsidRPr="004628EC" w14:paraId="33D0813B" w14:textId="77777777" w:rsidTr="00C45043">
        <w:trPr>
          <w:jc w:val="center"/>
        </w:trPr>
        <w:tc>
          <w:tcPr>
            <w:tcW w:w="2331" w:type="dxa"/>
            <w:shd w:val="clear" w:color="auto" w:fill="D9E2F3" w:themeFill="accent5" w:themeFillTint="33"/>
          </w:tcPr>
          <w:p w14:paraId="33D08137" w14:textId="77777777" w:rsidR="0074241B" w:rsidRPr="004628EC" w:rsidRDefault="0074241B" w:rsidP="00F423B4">
            <w:pPr>
              <w:rPr>
                <w:szCs w:val="22"/>
                <w:lang w:val="is-IS"/>
              </w:rPr>
            </w:pPr>
            <w:r w:rsidRPr="004628EC">
              <w:rPr>
                <w:szCs w:val="22"/>
                <w:lang w:val="is-IS"/>
              </w:rPr>
              <w:t>Kvarsít (SE)</w:t>
            </w:r>
          </w:p>
        </w:tc>
        <w:tc>
          <w:tcPr>
            <w:tcW w:w="1070" w:type="dxa"/>
            <w:shd w:val="clear" w:color="auto" w:fill="FFF2CC" w:themeFill="accent4" w:themeFillTint="33"/>
          </w:tcPr>
          <w:p w14:paraId="33D08138" w14:textId="77777777" w:rsidR="0074241B" w:rsidRPr="004628EC" w:rsidRDefault="0074241B" w:rsidP="00F423B4">
            <w:pPr>
              <w:jc w:val="center"/>
              <w:rPr>
                <w:szCs w:val="22"/>
                <w:lang w:val="is-IS"/>
              </w:rPr>
            </w:pPr>
            <w:r w:rsidRPr="004628EC">
              <w:rPr>
                <w:szCs w:val="22"/>
                <w:lang w:val="is-IS"/>
              </w:rPr>
              <w:t>13</w:t>
            </w:r>
          </w:p>
        </w:tc>
        <w:tc>
          <w:tcPr>
            <w:tcW w:w="1297" w:type="dxa"/>
            <w:shd w:val="clear" w:color="auto" w:fill="FFF2CC" w:themeFill="accent4" w:themeFillTint="33"/>
          </w:tcPr>
          <w:p w14:paraId="33D08139" w14:textId="77777777" w:rsidR="0074241B" w:rsidRPr="004628EC" w:rsidRDefault="0074241B" w:rsidP="00F423B4">
            <w:pPr>
              <w:jc w:val="center"/>
              <w:rPr>
                <w:szCs w:val="22"/>
                <w:lang w:val="is-IS"/>
              </w:rPr>
            </w:pPr>
            <w:r w:rsidRPr="004628EC">
              <w:rPr>
                <w:szCs w:val="22"/>
                <w:lang w:val="is-IS"/>
              </w:rPr>
              <w:t>68</w:t>
            </w:r>
          </w:p>
        </w:tc>
        <w:tc>
          <w:tcPr>
            <w:tcW w:w="1800" w:type="dxa"/>
            <w:shd w:val="clear" w:color="auto" w:fill="FFF2CC" w:themeFill="accent4" w:themeFillTint="33"/>
          </w:tcPr>
          <w:p w14:paraId="33D0813A" w14:textId="77777777" w:rsidR="0074241B" w:rsidRPr="004628EC" w:rsidRDefault="0074241B" w:rsidP="00F423B4">
            <w:pPr>
              <w:rPr>
                <w:szCs w:val="22"/>
                <w:lang w:val="is-IS"/>
              </w:rPr>
            </w:pPr>
            <w:r w:rsidRPr="004628EC">
              <w:rPr>
                <w:szCs w:val="22"/>
                <w:lang w:val="is-IS"/>
              </w:rPr>
              <w:t>Óvíst</w:t>
            </w:r>
          </w:p>
        </w:tc>
      </w:tr>
    </w:tbl>
    <w:p w14:paraId="33D0813C" w14:textId="77777777" w:rsidR="0074241B" w:rsidRDefault="0074241B" w:rsidP="0074241B">
      <w:pPr>
        <w:tabs>
          <w:tab w:val="left" w:pos="6840"/>
        </w:tabs>
        <w:spacing w:before="60"/>
        <w:ind w:left="1537" w:right="1571"/>
        <w:jc w:val="center"/>
        <w:rPr>
          <w:szCs w:val="22"/>
          <w:lang w:val="is-IS"/>
        </w:rPr>
      </w:pPr>
    </w:p>
    <w:p w14:paraId="33D0813D" w14:textId="77777777" w:rsidR="0074241B" w:rsidRPr="004628EC" w:rsidRDefault="0074241B" w:rsidP="0074241B">
      <w:pPr>
        <w:tabs>
          <w:tab w:val="left" w:pos="8379"/>
        </w:tabs>
        <w:ind w:right="28"/>
        <w:jc w:val="both"/>
        <w:rPr>
          <w:szCs w:val="22"/>
          <w:lang w:val="is-IS"/>
        </w:rPr>
      </w:pPr>
      <w:r w:rsidRPr="004628EC">
        <w:rPr>
          <w:szCs w:val="22"/>
          <w:lang w:val="is-IS"/>
        </w:rPr>
        <w:t xml:space="preserve">Taflan gefur í skyn að samhengið milli kleyfniþols og þakningar eftir 48 klst prófun sé ótraust, sömuleiðis </w:t>
      </w:r>
      <w:r w:rsidR="00C221BD">
        <w:rPr>
          <w:szCs w:val="22"/>
          <w:lang w:val="is-IS"/>
        </w:rPr>
        <w:t xml:space="preserve">er </w:t>
      </w:r>
      <w:r w:rsidRPr="004628EC">
        <w:rPr>
          <w:szCs w:val="22"/>
          <w:lang w:val="is-IS"/>
        </w:rPr>
        <w:t>samhengið milli þakningar og reynslu</w:t>
      </w:r>
      <w:r w:rsidR="00C221BD">
        <w:rPr>
          <w:szCs w:val="22"/>
          <w:lang w:val="is-IS"/>
        </w:rPr>
        <w:t xml:space="preserve"> ekki sannfærandi</w:t>
      </w:r>
      <w:r w:rsidRPr="004628EC">
        <w:rPr>
          <w:szCs w:val="22"/>
          <w:lang w:val="is-IS"/>
        </w:rPr>
        <w:t xml:space="preserve">.   </w:t>
      </w:r>
    </w:p>
    <w:p w14:paraId="33D0813E" w14:textId="55C1A2FC" w:rsidR="0074241B" w:rsidRPr="004628EC" w:rsidRDefault="0074241B" w:rsidP="0074241B">
      <w:pPr>
        <w:tabs>
          <w:tab w:val="left" w:pos="8379"/>
        </w:tabs>
        <w:ind w:right="28" w:firstLine="342"/>
        <w:jc w:val="both"/>
        <w:rPr>
          <w:szCs w:val="22"/>
          <w:lang w:val="is-IS"/>
        </w:rPr>
      </w:pPr>
      <w:r w:rsidRPr="004628EC">
        <w:rPr>
          <w:szCs w:val="22"/>
          <w:lang w:val="is-IS"/>
        </w:rPr>
        <w:lastRenderedPageBreak/>
        <w:t>Árið 1987 gerði Steinefnanefnd rannsóknir á rúlluflöskuprófi, þar sem steinefni úr sextán námum, langflestum íslenskum, voru prófuð [Steinefnanefnd 1994, bls</w:t>
      </w:r>
      <w:r>
        <w:rPr>
          <w:szCs w:val="22"/>
          <w:lang w:val="is-IS"/>
        </w:rPr>
        <w:t>.</w:t>
      </w:r>
      <w:r w:rsidRPr="004628EC">
        <w:rPr>
          <w:szCs w:val="22"/>
          <w:lang w:val="is-IS"/>
        </w:rPr>
        <w:t xml:space="preserve"> 9-10]. Steinefnið var í stærðaflokknum 5,6-8,0 mm, bindiefnið var vegolía, blönduð 1% af Diamin HBG. </w:t>
      </w:r>
      <w:r>
        <w:rPr>
          <w:szCs w:val="22"/>
          <w:lang w:val="is-IS"/>
        </w:rPr>
        <w:t xml:space="preserve">Þrjú sýni voru prófuð af </w:t>
      </w:r>
      <w:r w:rsidRPr="004628EC">
        <w:rPr>
          <w:szCs w:val="22"/>
          <w:lang w:val="is-IS"/>
        </w:rPr>
        <w:t xml:space="preserve">hverju steinefni og þrír menn mátu þakninguna </w:t>
      </w:r>
      <w:r>
        <w:rPr>
          <w:szCs w:val="22"/>
          <w:lang w:val="is-IS"/>
        </w:rPr>
        <w:t>á hverju sýni</w:t>
      </w:r>
      <w:r w:rsidRPr="004628EC">
        <w:rPr>
          <w:szCs w:val="22"/>
          <w:lang w:val="is-IS"/>
        </w:rPr>
        <w:t xml:space="preserve">. </w:t>
      </w:r>
      <w:r>
        <w:rPr>
          <w:szCs w:val="22"/>
          <w:lang w:val="is-IS"/>
        </w:rPr>
        <w:t xml:space="preserve">Prófununum var hagað þannig að fyrst var fyrsta sýni (ein flaska) af hverju steinefni prófað og þakningin metin af öllum matsmönnunum þremur, síðan næsta sýni á sama hátt og að lokum hið þriðja. Í hverri prófun var þakningin metin eftir eina, þrjár, sjö, 24 og 48 klst. </w:t>
      </w:r>
      <w:r w:rsidRPr="004628EC">
        <w:rPr>
          <w:szCs w:val="22"/>
          <w:lang w:val="is-IS"/>
        </w:rPr>
        <w:t xml:space="preserve">Niðurstöðurnar </w:t>
      </w:r>
      <w:r>
        <w:rPr>
          <w:szCs w:val="22"/>
          <w:lang w:val="is-IS"/>
        </w:rPr>
        <w:t xml:space="preserve">eftir 48 klst prófun </w:t>
      </w:r>
      <w:r w:rsidRPr="004628EC">
        <w:rPr>
          <w:szCs w:val="22"/>
          <w:lang w:val="is-IS"/>
        </w:rPr>
        <w:t>eru sýndar í töflu 2, tölur um þakningu eru hækkaðar eða lækkaðar í næsta heila margfeldi af 5.</w:t>
      </w:r>
    </w:p>
    <w:p w14:paraId="33D0813F" w14:textId="77777777" w:rsidR="0074241B" w:rsidRPr="004628EC" w:rsidRDefault="0074241B" w:rsidP="0074241B">
      <w:pPr>
        <w:tabs>
          <w:tab w:val="left" w:pos="8379"/>
        </w:tabs>
        <w:ind w:right="28" w:firstLine="342"/>
        <w:jc w:val="both"/>
        <w:rPr>
          <w:szCs w:val="22"/>
          <w:lang w:val="is-IS"/>
        </w:rPr>
      </w:pPr>
      <w:r w:rsidRPr="004628EC">
        <w:rPr>
          <w:szCs w:val="22"/>
          <w:lang w:val="is-IS"/>
        </w:rPr>
        <w:t>Á grundvelli þessara prófana var ályktað að munur á þakningarmati einstakra manna væri mikill og þakning steinefna í prófinu væri ekki í samræmi við reynslu af þeim í vegi né heldur niðurstöður annarra prófana. Á þessum forsendum ákvað Steinefnanefnd að gera ekki frekari rannsóknir á rúlluflöskuprófinu.</w:t>
      </w:r>
    </w:p>
    <w:p w14:paraId="33D08140" w14:textId="2174D575" w:rsidR="0074241B" w:rsidRDefault="0074241B" w:rsidP="004D7B8A">
      <w:pPr>
        <w:tabs>
          <w:tab w:val="left" w:pos="8379"/>
        </w:tabs>
        <w:ind w:right="28" w:firstLine="340"/>
        <w:jc w:val="both"/>
        <w:rPr>
          <w:szCs w:val="22"/>
          <w:lang w:val="is-IS"/>
        </w:rPr>
      </w:pPr>
      <w:r w:rsidRPr="004628EC">
        <w:rPr>
          <w:szCs w:val="22"/>
          <w:lang w:val="is-IS"/>
        </w:rPr>
        <w:t>Niðurstöðurnar úr þessari athugun voru notaðar til að meta nákvæmni rúlluflöskuprófsins. Staðalfrávik (endurtekinna) mælinga er á bilinu 0-23, oftast þó á bilinu 2-7. Frávikshlutfall (staðalfrávik sem hlutfall af mældu gildi) er á bilinu 0-100%. Mat rannsóknamanna á þakningu er marktækt mismunandi, og hefur meiri áhrif á niðurstöðurnar en steinefnið. Sömuleiðis er marktækur munur á milli prófunarum</w:t>
      </w:r>
      <w:r w:rsidRPr="004628EC">
        <w:rPr>
          <w:szCs w:val="22"/>
          <w:lang w:val="is-IS"/>
        </w:rPr>
        <w:softHyphen/>
        <w:t>ferðanna þriggja. Rétt er að taka fram að þessar samanburðarprófanir þurfa ekki að vera gildar fyrir prófanir á steinefnum í malbik, þar sem vegolía var not</w:t>
      </w:r>
      <w:r w:rsidR="006709F0">
        <w:rPr>
          <w:szCs w:val="22"/>
          <w:lang w:val="is-IS"/>
        </w:rPr>
        <w:t>u</w:t>
      </w:r>
      <w:r w:rsidRPr="004628EC">
        <w:rPr>
          <w:szCs w:val="22"/>
          <w:lang w:val="is-IS"/>
        </w:rPr>
        <w:t>ð við prófanirnar.</w:t>
      </w:r>
    </w:p>
    <w:p w14:paraId="33D08143" w14:textId="77777777" w:rsidR="0074241B" w:rsidRDefault="0074241B" w:rsidP="0074241B">
      <w:pPr>
        <w:tabs>
          <w:tab w:val="left" w:pos="8379"/>
        </w:tabs>
        <w:ind w:right="28" w:firstLine="342"/>
        <w:jc w:val="both"/>
        <w:rPr>
          <w:sz w:val="24"/>
          <w:szCs w:val="24"/>
          <w:lang w:val="is-IS"/>
        </w:rPr>
      </w:pPr>
    </w:p>
    <w:p w14:paraId="33D08144" w14:textId="77777777" w:rsidR="0074241B" w:rsidRPr="004D7B8A" w:rsidRDefault="0074241B" w:rsidP="004D7B8A">
      <w:pPr>
        <w:tabs>
          <w:tab w:val="left" w:pos="7182"/>
        </w:tabs>
        <w:spacing w:after="60"/>
        <w:ind w:left="1196" w:right="1225"/>
        <w:jc w:val="both"/>
        <w:rPr>
          <w:sz w:val="20"/>
          <w:lang w:val="is-IS"/>
        </w:rPr>
      </w:pPr>
      <w:r w:rsidRPr="004D7B8A">
        <w:rPr>
          <w:b/>
          <w:sz w:val="20"/>
          <w:lang w:val="is-IS"/>
        </w:rPr>
        <w:t xml:space="preserve">Tafla 2. </w:t>
      </w:r>
      <w:r w:rsidRPr="004D7B8A">
        <w:rPr>
          <w:sz w:val="20"/>
          <w:lang w:val="is-IS"/>
        </w:rPr>
        <w:t>Niðurstöður rúlluflöskuprófs á viðloðun á nokkrum mal</w:t>
      </w:r>
      <w:r w:rsidRPr="004D7B8A">
        <w:rPr>
          <w:sz w:val="20"/>
          <w:lang w:val="is-IS"/>
        </w:rPr>
        <w:softHyphen/>
        <w:t>biksefnum með vegolíu blandaðri viðloðunarefni. Meðaltal þakn</w:t>
      </w:r>
      <w:r w:rsidRPr="004D7B8A">
        <w:rPr>
          <w:sz w:val="20"/>
          <w:lang w:val="is-IS"/>
        </w:rPr>
        <w:softHyphen/>
        <w:t>ingar á þrem sýnum, metin af þrem mönnum eftir prófun í 48 klst.</w:t>
      </w:r>
    </w:p>
    <w:tbl>
      <w:tblPr>
        <w:tblStyle w:val="TableGrid"/>
        <w:tblW w:w="0" w:type="auto"/>
        <w:jc w:val="center"/>
        <w:tblLook w:val="01E0" w:firstRow="1" w:lastRow="1" w:firstColumn="1" w:lastColumn="1" w:noHBand="0" w:noVBand="0"/>
      </w:tblPr>
      <w:tblGrid>
        <w:gridCol w:w="1772"/>
        <w:gridCol w:w="1368"/>
        <w:gridCol w:w="1368"/>
        <w:gridCol w:w="1368"/>
      </w:tblGrid>
      <w:tr w:rsidR="0074241B" w:rsidRPr="007864EB" w14:paraId="33D08147" w14:textId="77777777" w:rsidTr="00C45043">
        <w:trPr>
          <w:trHeight w:val="278"/>
          <w:jc w:val="center"/>
        </w:trPr>
        <w:tc>
          <w:tcPr>
            <w:tcW w:w="1772" w:type="dxa"/>
            <w:vMerge w:val="restart"/>
            <w:shd w:val="clear" w:color="auto" w:fill="D9E2F3" w:themeFill="accent5" w:themeFillTint="33"/>
          </w:tcPr>
          <w:p w14:paraId="33D08145" w14:textId="77777777" w:rsidR="0074241B" w:rsidRPr="001044F8" w:rsidRDefault="0074241B" w:rsidP="00F423B4">
            <w:pPr>
              <w:rPr>
                <w:b/>
                <w:szCs w:val="22"/>
                <w:lang w:val="is-IS"/>
              </w:rPr>
            </w:pPr>
            <w:r w:rsidRPr="001044F8">
              <w:rPr>
                <w:b/>
                <w:szCs w:val="22"/>
                <w:lang w:val="is-IS"/>
              </w:rPr>
              <w:t>Steinefni</w:t>
            </w:r>
          </w:p>
        </w:tc>
        <w:tc>
          <w:tcPr>
            <w:tcW w:w="4104" w:type="dxa"/>
            <w:gridSpan w:val="3"/>
            <w:shd w:val="clear" w:color="auto" w:fill="D9E2F3" w:themeFill="accent5" w:themeFillTint="33"/>
          </w:tcPr>
          <w:p w14:paraId="33D08146" w14:textId="77777777" w:rsidR="0074241B" w:rsidRPr="001044F8" w:rsidRDefault="0074241B" w:rsidP="00F423B4">
            <w:pPr>
              <w:jc w:val="center"/>
              <w:rPr>
                <w:b/>
                <w:szCs w:val="22"/>
                <w:lang w:val="is-IS"/>
              </w:rPr>
            </w:pPr>
            <w:r w:rsidRPr="001044F8">
              <w:rPr>
                <w:b/>
                <w:szCs w:val="22"/>
                <w:lang w:val="is-IS"/>
              </w:rPr>
              <w:t>Þakning, %, metin af matsmanni nr:</w:t>
            </w:r>
          </w:p>
        </w:tc>
      </w:tr>
      <w:tr w:rsidR="0074241B" w:rsidRPr="007864EB" w14:paraId="33D0814C" w14:textId="77777777" w:rsidTr="00C45043">
        <w:trPr>
          <w:trHeight w:val="277"/>
          <w:jc w:val="center"/>
        </w:trPr>
        <w:tc>
          <w:tcPr>
            <w:tcW w:w="1772" w:type="dxa"/>
            <w:vMerge/>
            <w:shd w:val="clear" w:color="auto" w:fill="D9E2F3" w:themeFill="accent5" w:themeFillTint="33"/>
          </w:tcPr>
          <w:p w14:paraId="33D08148" w14:textId="77777777" w:rsidR="0074241B" w:rsidRPr="001044F8" w:rsidRDefault="0074241B" w:rsidP="00F423B4">
            <w:pPr>
              <w:rPr>
                <w:b/>
                <w:szCs w:val="22"/>
                <w:lang w:val="is-IS"/>
              </w:rPr>
            </w:pPr>
          </w:p>
        </w:tc>
        <w:tc>
          <w:tcPr>
            <w:tcW w:w="1368" w:type="dxa"/>
            <w:shd w:val="clear" w:color="auto" w:fill="D9E2F3" w:themeFill="accent5" w:themeFillTint="33"/>
          </w:tcPr>
          <w:p w14:paraId="33D08149" w14:textId="77777777" w:rsidR="0074241B" w:rsidRPr="001044F8" w:rsidRDefault="0074241B" w:rsidP="00F423B4">
            <w:pPr>
              <w:jc w:val="center"/>
              <w:rPr>
                <w:b/>
                <w:szCs w:val="22"/>
                <w:lang w:val="is-IS"/>
              </w:rPr>
            </w:pPr>
            <w:r w:rsidRPr="001044F8">
              <w:rPr>
                <w:b/>
                <w:szCs w:val="22"/>
                <w:lang w:val="is-IS"/>
              </w:rPr>
              <w:t>1</w:t>
            </w:r>
          </w:p>
        </w:tc>
        <w:tc>
          <w:tcPr>
            <w:tcW w:w="1368" w:type="dxa"/>
            <w:shd w:val="clear" w:color="auto" w:fill="D9E2F3" w:themeFill="accent5" w:themeFillTint="33"/>
          </w:tcPr>
          <w:p w14:paraId="33D0814A" w14:textId="77777777" w:rsidR="0074241B" w:rsidRPr="001044F8" w:rsidRDefault="0074241B" w:rsidP="00F423B4">
            <w:pPr>
              <w:jc w:val="center"/>
              <w:rPr>
                <w:b/>
                <w:szCs w:val="22"/>
                <w:lang w:val="is-IS"/>
              </w:rPr>
            </w:pPr>
            <w:r w:rsidRPr="001044F8">
              <w:rPr>
                <w:b/>
                <w:szCs w:val="22"/>
                <w:lang w:val="is-IS"/>
              </w:rPr>
              <w:t>2</w:t>
            </w:r>
          </w:p>
        </w:tc>
        <w:tc>
          <w:tcPr>
            <w:tcW w:w="1368" w:type="dxa"/>
            <w:shd w:val="clear" w:color="auto" w:fill="D9E2F3" w:themeFill="accent5" w:themeFillTint="33"/>
          </w:tcPr>
          <w:p w14:paraId="33D0814B" w14:textId="77777777" w:rsidR="0074241B" w:rsidRPr="001044F8" w:rsidRDefault="0074241B" w:rsidP="00F423B4">
            <w:pPr>
              <w:jc w:val="center"/>
              <w:rPr>
                <w:b/>
                <w:szCs w:val="22"/>
                <w:lang w:val="is-IS"/>
              </w:rPr>
            </w:pPr>
            <w:r w:rsidRPr="001044F8">
              <w:rPr>
                <w:b/>
                <w:szCs w:val="22"/>
                <w:lang w:val="is-IS"/>
              </w:rPr>
              <w:t>3</w:t>
            </w:r>
          </w:p>
        </w:tc>
      </w:tr>
      <w:tr w:rsidR="0074241B" w14:paraId="33D08151" w14:textId="77777777" w:rsidTr="00C45043">
        <w:trPr>
          <w:jc w:val="center"/>
        </w:trPr>
        <w:tc>
          <w:tcPr>
            <w:tcW w:w="1772" w:type="dxa"/>
            <w:shd w:val="clear" w:color="auto" w:fill="D9E2F3" w:themeFill="accent5" w:themeFillTint="33"/>
          </w:tcPr>
          <w:p w14:paraId="33D0814D" w14:textId="77777777" w:rsidR="0074241B" w:rsidRPr="001044F8" w:rsidRDefault="0074241B" w:rsidP="00F423B4">
            <w:pPr>
              <w:rPr>
                <w:szCs w:val="22"/>
                <w:lang w:val="is-IS"/>
              </w:rPr>
            </w:pPr>
            <w:r w:rsidRPr="001044F8">
              <w:rPr>
                <w:szCs w:val="22"/>
                <w:lang w:val="is-IS"/>
              </w:rPr>
              <w:t>Bakkaá</w:t>
            </w:r>
          </w:p>
        </w:tc>
        <w:tc>
          <w:tcPr>
            <w:tcW w:w="1368" w:type="dxa"/>
            <w:shd w:val="clear" w:color="auto" w:fill="FFF2CC" w:themeFill="accent4" w:themeFillTint="33"/>
          </w:tcPr>
          <w:p w14:paraId="33D0814E" w14:textId="77777777" w:rsidR="0074241B" w:rsidRPr="001044F8" w:rsidRDefault="0074241B" w:rsidP="00F423B4">
            <w:pPr>
              <w:jc w:val="center"/>
              <w:rPr>
                <w:szCs w:val="22"/>
                <w:lang w:val="is-IS"/>
              </w:rPr>
            </w:pPr>
            <w:r w:rsidRPr="001044F8">
              <w:rPr>
                <w:szCs w:val="22"/>
                <w:lang w:val="is-IS"/>
              </w:rPr>
              <w:t>25</w:t>
            </w:r>
          </w:p>
        </w:tc>
        <w:tc>
          <w:tcPr>
            <w:tcW w:w="1368" w:type="dxa"/>
            <w:shd w:val="clear" w:color="auto" w:fill="FFF2CC" w:themeFill="accent4" w:themeFillTint="33"/>
          </w:tcPr>
          <w:p w14:paraId="33D0814F" w14:textId="77777777" w:rsidR="0074241B" w:rsidRPr="001044F8" w:rsidRDefault="0074241B" w:rsidP="00F423B4">
            <w:pPr>
              <w:jc w:val="center"/>
              <w:rPr>
                <w:szCs w:val="22"/>
                <w:lang w:val="is-IS"/>
              </w:rPr>
            </w:pPr>
            <w:r w:rsidRPr="001044F8">
              <w:rPr>
                <w:szCs w:val="22"/>
                <w:lang w:val="is-IS"/>
              </w:rPr>
              <w:t>35</w:t>
            </w:r>
          </w:p>
        </w:tc>
        <w:tc>
          <w:tcPr>
            <w:tcW w:w="1368" w:type="dxa"/>
            <w:shd w:val="clear" w:color="auto" w:fill="FFF2CC" w:themeFill="accent4" w:themeFillTint="33"/>
          </w:tcPr>
          <w:p w14:paraId="33D08150" w14:textId="77777777" w:rsidR="0074241B" w:rsidRPr="001044F8" w:rsidRDefault="0074241B" w:rsidP="00F423B4">
            <w:pPr>
              <w:jc w:val="center"/>
              <w:rPr>
                <w:szCs w:val="22"/>
                <w:lang w:val="is-IS"/>
              </w:rPr>
            </w:pPr>
            <w:r w:rsidRPr="001044F8">
              <w:rPr>
                <w:szCs w:val="22"/>
                <w:lang w:val="is-IS"/>
              </w:rPr>
              <w:t>30</w:t>
            </w:r>
          </w:p>
        </w:tc>
      </w:tr>
      <w:tr w:rsidR="0074241B" w14:paraId="33D08156" w14:textId="77777777" w:rsidTr="00C45043">
        <w:trPr>
          <w:jc w:val="center"/>
        </w:trPr>
        <w:tc>
          <w:tcPr>
            <w:tcW w:w="1772" w:type="dxa"/>
            <w:shd w:val="clear" w:color="auto" w:fill="D9E2F3" w:themeFill="accent5" w:themeFillTint="33"/>
          </w:tcPr>
          <w:p w14:paraId="33D08152" w14:textId="77777777" w:rsidR="0074241B" w:rsidRPr="001044F8" w:rsidRDefault="0074241B" w:rsidP="00F423B4">
            <w:pPr>
              <w:rPr>
                <w:szCs w:val="22"/>
                <w:lang w:val="is-IS"/>
              </w:rPr>
            </w:pPr>
            <w:r w:rsidRPr="001044F8">
              <w:rPr>
                <w:szCs w:val="22"/>
                <w:lang w:val="is-IS"/>
              </w:rPr>
              <w:t>Björgun</w:t>
            </w:r>
          </w:p>
        </w:tc>
        <w:tc>
          <w:tcPr>
            <w:tcW w:w="1368" w:type="dxa"/>
            <w:shd w:val="clear" w:color="auto" w:fill="FFF2CC" w:themeFill="accent4" w:themeFillTint="33"/>
          </w:tcPr>
          <w:p w14:paraId="33D08153" w14:textId="77777777" w:rsidR="0074241B" w:rsidRPr="001044F8" w:rsidRDefault="0074241B" w:rsidP="00F423B4">
            <w:pPr>
              <w:jc w:val="center"/>
              <w:rPr>
                <w:szCs w:val="22"/>
                <w:lang w:val="is-IS"/>
              </w:rPr>
            </w:pPr>
            <w:r w:rsidRPr="001044F8">
              <w:rPr>
                <w:szCs w:val="22"/>
                <w:lang w:val="is-IS"/>
              </w:rPr>
              <w:t>5</w:t>
            </w:r>
          </w:p>
        </w:tc>
        <w:tc>
          <w:tcPr>
            <w:tcW w:w="1368" w:type="dxa"/>
            <w:shd w:val="clear" w:color="auto" w:fill="FFF2CC" w:themeFill="accent4" w:themeFillTint="33"/>
          </w:tcPr>
          <w:p w14:paraId="33D08154" w14:textId="77777777" w:rsidR="0074241B" w:rsidRPr="001044F8" w:rsidRDefault="0074241B" w:rsidP="00F423B4">
            <w:pPr>
              <w:jc w:val="center"/>
              <w:rPr>
                <w:szCs w:val="22"/>
                <w:lang w:val="is-IS"/>
              </w:rPr>
            </w:pPr>
            <w:r w:rsidRPr="001044F8">
              <w:rPr>
                <w:szCs w:val="22"/>
                <w:lang w:val="is-IS"/>
              </w:rPr>
              <w:t>10</w:t>
            </w:r>
          </w:p>
        </w:tc>
        <w:tc>
          <w:tcPr>
            <w:tcW w:w="1368" w:type="dxa"/>
            <w:shd w:val="clear" w:color="auto" w:fill="FFF2CC" w:themeFill="accent4" w:themeFillTint="33"/>
          </w:tcPr>
          <w:p w14:paraId="33D08155" w14:textId="77777777" w:rsidR="0074241B" w:rsidRPr="001044F8" w:rsidRDefault="0074241B" w:rsidP="00F423B4">
            <w:pPr>
              <w:jc w:val="center"/>
              <w:rPr>
                <w:szCs w:val="22"/>
                <w:lang w:val="is-IS"/>
              </w:rPr>
            </w:pPr>
            <w:r w:rsidRPr="001044F8">
              <w:rPr>
                <w:szCs w:val="22"/>
                <w:lang w:val="is-IS"/>
              </w:rPr>
              <w:t>5</w:t>
            </w:r>
          </w:p>
        </w:tc>
      </w:tr>
      <w:tr w:rsidR="0074241B" w14:paraId="33D0815B" w14:textId="77777777" w:rsidTr="00C45043">
        <w:trPr>
          <w:jc w:val="center"/>
        </w:trPr>
        <w:tc>
          <w:tcPr>
            <w:tcW w:w="1772" w:type="dxa"/>
            <w:shd w:val="clear" w:color="auto" w:fill="D9E2F3" w:themeFill="accent5" w:themeFillTint="33"/>
          </w:tcPr>
          <w:p w14:paraId="33D08157" w14:textId="77777777" w:rsidR="0074241B" w:rsidRPr="001044F8" w:rsidRDefault="0074241B" w:rsidP="00F423B4">
            <w:pPr>
              <w:rPr>
                <w:szCs w:val="22"/>
                <w:lang w:val="is-IS"/>
              </w:rPr>
            </w:pPr>
            <w:r w:rsidRPr="001044F8">
              <w:rPr>
                <w:szCs w:val="22"/>
                <w:lang w:val="is-IS"/>
              </w:rPr>
              <w:t>Esjuberg</w:t>
            </w:r>
          </w:p>
        </w:tc>
        <w:tc>
          <w:tcPr>
            <w:tcW w:w="1368" w:type="dxa"/>
            <w:shd w:val="clear" w:color="auto" w:fill="FFF2CC" w:themeFill="accent4" w:themeFillTint="33"/>
          </w:tcPr>
          <w:p w14:paraId="33D08158" w14:textId="77777777" w:rsidR="0074241B" w:rsidRPr="001044F8" w:rsidRDefault="0074241B" w:rsidP="00F423B4">
            <w:pPr>
              <w:jc w:val="center"/>
              <w:rPr>
                <w:szCs w:val="22"/>
                <w:lang w:val="is-IS"/>
              </w:rPr>
            </w:pPr>
            <w:r w:rsidRPr="001044F8">
              <w:rPr>
                <w:szCs w:val="22"/>
                <w:lang w:val="is-IS"/>
              </w:rPr>
              <w:t>10</w:t>
            </w:r>
          </w:p>
        </w:tc>
        <w:tc>
          <w:tcPr>
            <w:tcW w:w="1368" w:type="dxa"/>
            <w:shd w:val="clear" w:color="auto" w:fill="FFF2CC" w:themeFill="accent4" w:themeFillTint="33"/>
          </w:tcPr>
          <w:p w14:paraId="33D08159" w14:textId="77777777" w:rsidR="0074241B" w:rsidRPr="001044F8" w:rsidRDefault="0074241B" w:rsidP="00F423B4">
            <w:pPr>
              <w:jc w:val="center"/>
              <w:rPr>
                <w:szCs w:val="22"/>
                <w:lang w:val="is-IS"/>
              </w:rPr>
            </w:pPr>
            <w:r w:rsidRPr="001044F8">
              <w:rPr>
                <w:szCs w:val="22"/>
                <w:lang w:val="is-IS"/>
              </w:rPr>
              <w:t>20</w:t>
            </w:r>
          </w:p>
        </w:tc>
        <w:tc>
          <w:tcPr>
            <w:tcW w:w="1368" w:type="dxa"/>
            <w:shd w:val="clear" w:color="auto" w:fill="FFF2CC" w:themeFill="accent4" w:themeFillTint="33"/>
          </w:tcPr>
          <w:p w14:paraId="33D0815A" w14:textId="77777777" w:rsidR="0074241B" w:rsidRPr="001044F8" w:rsidRDefault="0074241B" w:rsidP="00F423B4">
            <w:pPr>
              <w:jc w:val="center"/>
              <w:rPr>
                <w:szCs w:val="22"/>
                <w:lang w:val="is-IS"/>
              </w:rPr>
            </w:pPr>
            <w:r w:rsidRPr="001044F8">
              <w:rPr>
                <w:szCs w:val="22"/>
                <w:lang w:val="is-IS"/>
              </w:rPr>
              <w:t>10</w:t>
            </w:r>
          </w:p>
        </w:tc>
      </w:tr>
      <w:tr w:rsidR="0074241B" w14:paraId="33D08160" w14:textId="77777777" w:rsidTr="00C45043">
        <w:trPr>
          <w:jc w:val="center"/>
        </w:trPr>
        <w:tc>
          <w:tcPr>
            <w:tcW w:w="1772" w:type="dxa"/>
            <w:shd w:val="clear" w:color="auto" w:fill="D9E2F3" w:themeFill="accent5" w:themeFillTint="33"/>
          </w:tcPr>
          <w:p w14:paraId="33D0815C" w14:textId="77777777" w:rsidR="0074241B" w:rsidRPr="001044F8" w:rsidRDefault="0074241B" w:rsidP="00F423B4">
            <w:pPr>
              <w:rPr>
                <w:szCs w:val="22"/>
                <w:lang w:val="is-IS"/>
              </w:rPr>
            </w:pPr>
            <w:r w:rsidRPr="001044F8">
              <w:rPr>
                <w:szCs w:val="22"/>
                <w:lang w:val="is-IS"/>
              </w:rPr>
              <w:t>Granít</w:t>
            </w:r>
          </w:p>
        </w:tc>
        <w:tc>
          <w:tcPr>
            <w:tcW w:w="1368" w:type="dxa"/>
            <w:shd w:val="clear" w:color="auto" w:fill="FFF2CC" w:themeFill="accent4" w:themeFillTint="33"/>
          </w:tcPr>
          <w:p w14:paraId="33D0815D" w14:textId="77777777" w:rsidR="0074241B" w:rsidRPr="001044F8" w:rsidRDefault="0074241B" w:rsidP="00F423B4">
            <w:pPr>
              <w:jc w:val="center"/>
              <w:rPr>
                <w:szCs w:val="22"/>
                <w:lang w:val="is-IS"/>
              </w:rPr>
            </w:pPr>
            <w:r w:rsidRPr="001044F8">
              <w:rPr>
                <w:szCs w:val="22"/>
                <w:lang w:val="is-IS"/>
              </w:rPr>
              <w:t>5</w:t>
            </w:r>
          </w:p>
        </w:tc>
        <w:tc>
          <w:tcPr>
            <w:tcW w:w="1368" w:type="dxa"/>
            <w:shd w:val="clear" w:color="auto" w:fill="FFF2CC" w:themeFill="accent4" w:themeFillTint="33"/>
          </w:tcPr>
          <w:p w14:paraId="33D0815E" w14:textId="77777777" w:rsidR="0074241B" w:rsidRPr="001044F8" w:rsidRDefault="0074241B" w:rsidP="00F423B4">
            <w:pPr>
              <w:jc w:val="center"/>
              <w:rPr>
                <w:szCs w:val="22"/>
                <w:lang w:val="is-IS"/>
              </w:rPr>
            </w:pPr>
            <w:r w:rsidRPr="001044F8">
              <w:rPr>
                <w:szCs w:val="22"/>
                <w:lang w:val="is-IS"/>
              </w:rPr>
              <w:t>20</w:t>
            </w:r>
          </w:p>
        </w:tc>
        <w:tc>
          <w:tcPr>
            <w:tcW w:w="1368" w:type="dxa"/>
            <w:shd w:val="clear" w:color="auto" w:fill="FFF2CC" w:themeFill="accent4" w:themeFillTint="33"/>
          </w:tcPr>
          <w:p w14:paraId="33D0815F" w14:textId="77777777" w:rsidR="0074241B" w:rsidRPr="001044F8" w:rsidRDefault="0074241B" w:rsidP="00F423B4">
            <w:pPr>
              <w:jc w:val="center"/>
              <w:rPr>
                <w:szCs w:val="22"/>
                <w:lang w:val="is-IS"/>
              </w:rPr>
            </w:pPr>
            <w:r w:rsidRPr="001044F8">
              <w:rPr>
                <w:szCs w:val="22"/>
                <w:lang w:val="is-IS"/>
              </w:rPr>
              <w:t>20</w:t>
            </w:r>
          </w:p>
        </w:tc>
      </w:tr>
      <w:tr w:rsidR="0074241B" w14:paraId="33D08165" w14:textId="77777777" w:rsidTr="00C45043">
        <w:trPr>
          <w:jc w:val="center"/>
        </w:trPr>
        <w:tc>
          <w:tcPr>
            <w:tcW w:w="1772" w:type="dxa"/>
            <w:shd w:val="clear" w:color="auto" w:fill="D9E2F3" w:themeFill="accent5" w:themeFillTint="33"/>
          </w:tcPr>
          <w:p w14:paraId="33D08161" w14:textId="77777777" w:rsidR="0074241B" w:rsidRPr="001044F8" w:rsidRDefault="0074241B" w:rsidP="00F423B4">
            <w:pPr>
              <w:rPr>
                <w:szCs w:val="22"/>
                <w:lang w:val="is-IS"/>
              </w:rPr>
            </w:pPr>
            <w:r w:rsidRPr="001044F8">
              <w:rPr>
                <w:szCs w:val="22"/>
                <w:lang w:val="is-IS"/>
              </w:rPr>
              <w:t>Grjóteyrarhæðir</w:t>
            </w:r>
          </w:p>
        </w:tc>
        <w:tc>
          <w:tcPr>
            <w:tcW w:w="1368" w:type="dxa"/>
            <w:shd w:val="clear" w:color="auto" w:fill="FFF2CC" w:themeFill="accent4" w:themeFillTint="33"/>
          </w:tcPr>
          <w:p w14:paraId="33D08162" w14:textId="77777777" w:rsidR="0074241B" w:rsidRPr="001044F8" w:rsidRDefault="0074241B" w:rsidP="00F423B4">
            <w:pPr>
              <w:jc w:val="center"/>
              <w:rPr>
                <w:szCs w:val="22"/>
                <w:lang w:val="is-IS"/>
              </w:rPr>
            </w:pPr>
            <w:r w:rsidRPr="001044F8">
              <w:rPr>
                <w:szCs w:val="22"/>
                <w:lang w:val="is-IS"/>
              </w:rPr>
              <w:t>15</w:t>
            </w:r>
          </w:p>
        </w:tc>
        <w:tc>
          <w:tcPr>
            <w:tcW w:w="1368" w:type="dxa"/>
            <w:shd w:val="clear" w:color="auto" w:fill="FFF2CC" w:themeFill="accent4" w:themeFillTint="33"/>
          </w:tcPr>
          <w:p w14:paraId="33D08163" w14:textId="77777777" w:rsidR="0074241B" w:rsidRPr="001044F8" w:rsidRDefault="0074241B" w:rsidP="00F423B4">
            <w:pPr>
              <w:jc w:val="center"/>
              <w:rPr>
                <w:szCs w:val="22"/>
                <w:lang w:val="is-IS"/>
              </w:rPr>
            </w:pPr>
            <w:r w:rsidRPr="001044F8">
              <w:rPr>
                <w:szCs w:val="22"/>
                <w:lang w:val="is-IS"/>
              </w:rPr>
              <w:t>20</w:t>
            </w:r>
          </w:p>
        </w:tc>
        <w:tc>
          <w:tcPr>
            <w:tcW w:w="1368" w:type="dxa"/>
            <w:shd w:val="clear" w:color="auto" w:fill="FFF2CC" w:themeFill="accent4" w:themeFillTint="33"/>
          </w:tcPr>
          <w:p w14:paraId="33D08164" w14:textId="77777777" w:rsidR="0074241B" w:rsidRPr="001044F8" w:rsidRDefault="0074241B" w:rsidP="00F423B4">
            <w:pPr>
              <w:jc w:val="center"/>
              <w:rPr>
                <w:szCs w:val="22"/>
                <w:lang w:val="is-IS"/>
              </w:rPr>
            </w:pPr>
            <w:r w:rsidRPr="001044F8">
              <w:rPr>
                <w:szCs w:val="22"/>
                <w:lang w:val="is-IS"/>
              </w:rPr>
              <w:t>20</w:t>
            </w:r>
          </w:p>
        </w:tc>
      </w:tr>
      <w:tr w:rsidR="0074241B" w14:paraId="33D0816A" w14:textId="77777777" w:rsidTr="00C45043">
        <w:trPr>
          <w:jc w:val="center"/>
        </w:trPr>
        <w:tc>
          <w:tcPr>
            <w:tcW w:w="1772" w:type="dxa"/>
            <w:shd w:val="clear" w:color="auto" w:fill="D9E2F3" w:themeFill="accent5" w:themeFillTint="33"/>
          </w:tcPr>
          <w:p w14:paraId="33D08166" w14:textId="77777777" w:rsidR="0074241B" w:rsidRPr="001044F8" w:rsidRDefault="0074241B" w:rsidP="00F423B4">
            <w:pPr>
              <w:rPr>
                <w:szCs w:val="22"/>
                <w:lang w:val="is-IS"/>
              </w:rPr>
            </w:pPr>
            <w:r w:rsidRPr="001044F8">
              <w:rPr>
                <w:szCs w:val="22"/>
                <w:lang w:val="is-IS"/>
              </w:rPr>
              <w:t>Haukadalsá</w:t>
            </w:r>
          </w:p>
        </w:tc>
        <w:tc>
          <w:tcPr>
            <w:tcW w:w="1368" w:type="dxa"/>
            <w:shd w:val="clear" w:color="auto" w:fill="FFF2CC" w:themeFill="accent4" w:themeFillTint="33"/>
          </w:tcPr>
          <w:p w14:paraId="33D08167" w14:textId="77777777" w:rsidR="0074241B" w:rsidRPr="001044F8" w:rsidRDefault="0074241B" w:rsidP="00F423B4">
            <w:pPr>
              <w:jc w:val="center"/>
              <w:rPr>
                <w:szCs w:val="22"/>
                <w:lang w:val="is-IS"/>
              </w:rPr>
            </w:pPr>
            <w:r w:rsidRPr="001044F8">
              <w:rPr>
                <w:szCs w:val="22"/>
                <w:lang w:val="is-IS"/>
              </w:rPr>
              <w:t>5</w:t>
            </w:r>
          </w:p>
        </w:tc>
        <w:tc>
          <w:tcPr>
            <w:tcW w:w="1368" w:type="dxa"/>
            <w:shd w:val="clear" w:color="auto" w:fill="FFF2CC" w:themeFill="accent4" w:themeFillTint="33"/>
          </w:tcPr>
          <w:p w14:paraId="33D08168" w14:textId="77777777" w:rsidR="0074241B" w:rsidRPr="001044F8" w:rsidRDefault="0074241B" w:rsidP="00F423B4">
            <w:pPr>
              <w:jc w:val="center"/>
              <w:rPr>
                <w:szCs w:val="22"/>
                <w:lang w:val="is-IS"/>
              </w:rPr>
            </w:pPr>
            <w:r w:rsidRPr="001044F8">
              <w:rPr>
                <w:szCs w:val="22"/>
                <w:lang w:val="is-IS"/>
              </w:rPr>
              <w:t>20</w:t>
            </w:r>
          </w:p>
        </w:tc>
        <w:tc>
          <w:tcPr>
            <w:tcW w:w="1368" w:type="dxa"/>
            <w:shd w:val="clear" w:color="auto" w:fill="FFF2CC" w:themeFill="accent4" w:themeFillTint="33"/>
          </w:tcPr>
          <w:p w14:paraId="33D08169" w14:textId="77777777" w:rsidR="0074241B" w:rsidRPr="001044F8" w:rsidRDefault="0074241B" w:rsidP="00F423B4">
            <w:pPr>
              <w:jc w:val="center"/>
              <w:rPr>
                <w:szCs w:val="22"/>
                <w:lang w:val="is-IS"/>
              </w:rPr>
            </w:pPr>
            <w:r w:rsidRPr="001044F8">
              <w:rPr>
                <w:szCs w:val="22"/>
                <w:lang w:val="is-IS"/>
              </w:rPr>
              <w:t>5</w:t>
            </w:r>
          </w:p>
        </w:tc>
      </w:tr>
      <w:tr w:rsidR="0074241B" w14:paraId="33D0816F" w14:textId="77777777" w:rsidTr="00C45043">
        <w:trPr>
          <w:jc w:val="center"/>
        </w:trPr>
        <w:tc>
          <w:tcPr>
            <w:tcW w:w="1772" w:type="dxa"/>
            <w:shd w:val="clear" w:color="auto" w:fill="D9E2F3" w:themeFill="accent5" w:themeFillTint="33"/>
          </w:tcPr>
          <w:p w14:paraId="33D0816B" w14:textId="77777777" w:rsidR="0074241B" w:rsidRPr="001044F8" w:rsidRDefault="0074241B" w:rsidP="00F423B4">
            <w:pPr>
              <w:rPr>
                <w:szCs w:val="22"/>
                <w:lang w:val="is-IS"/>
              </w:rPr>
            </w:pPr>
            <w:r w:rsidRPr="001044F8">
              <w:rPr>
                <w:szCs w:val="22"/>
                <w:lang w:val="is-IS"/>
              </w:rPr>
              <w:t>Hvalfjarðareyri</w:t>
            </w:r>
          </w:p>
        </w:tc>
        <w:tc>
          <w:tcPr>
            <w:tcW w:w="1368" w:type="dxa"/>
            <w:shd w:val="clear" w:color="auto" w:fill="FFF2CC" w:themeFill="accent4" w:themeFillTint="33"/>
          </w:tcPr>
          <w:p w14:paraId="33D0816C" w14:textId="77777777" w:rsidR="0074241B" w:rsidRPr="001044F8" w:rsidRDefault="0074241B" w:rsidP="00F423B4">
            <w:pPr>
              <w:jc w:val="center"/>
              <w:rPr>
                <w:szCs w:val="22"/>
                <w:lang w:val="is-IS"/>
              </w:rPr>
            </w:pPr>
            <w:r w:rsidRPr="001044F8">
              <w:rPr>
                <w:szCs w:val="22"/>
                <w:lang w:val="is-IS"/>
              </w:rPr>
              <w:t>10</w:t>
            </w:r>
          </w:p>
        </w:tc>
        <w:tc>
          <w:tcPr>
            <w:tcW w:w="1368" w:type="dxa"/>
            <w:shd w:val="clear" w:color="auto" w:fill="FFF2CC" w:themeFill="accent4" w:themeFillTint="33"/>
          </w:tcPr>
          <w:p w14:paraId="33D0816D" w14:textId="77777777" w:rsidR="0074241B" w:rsidRPr="001044F8" w:rsidRDefault="0074241B" w:rsidP="00F423B4">
            <w:pPr>
              <w:jc w:val="center"/>
              <w:rPr>
                <w:szCs w:val="22"/>
                <w:lang w:val="is-IS"/>
              </w:rPr>
            </w:pPr>
            <w:r w:rsidRPr="001044F8">
              <w:rPr>
                <w:szCs w:val="22"/>
                <w:lang w:val="is-IS"/>
              </w:rPr>
              <w:t>25</w:t>
            </w:r>
          </w:p>
        </w:tc>
        <w:tc>
          <w:tcPr>
            <w:tcW w:w="1368" w:type="dxa"/>
            <w:shd w:val="clear" w:color="auto" w:fill="FFF2CC" w:themeFill="accent4" w:themeFillTint="33"/>
          </w:tcPr>
          <w:p w14:paraId="33D0816E" w14:textId="77777777" w:rsidR="0074241B" w:rsidRPr="001044F8" w:rsidRDefault="0074241B" w:rsidP="00F423B4">
            <w:pPr>
              <w:jc w:val="center"/>
              <w:rPr>
                <w:szCs w:val="22"/>
                <w:lang w:val="is-IS"/>
              </w:rPr>
            </w:pPr>
            <w:r w:rsidRPr="001044F8">
              <w:rPr>
                <w:szCs w:val="22"/>
                <w:lang w:val="is-IS"/>
              </w:rPr>
              <w:t>10</w:t>
            </w:r>
          </w:p>
        </w:tc>
      </w:tr>
      <w:tr w:rsidR="0074241B" w14:paraId="33D08174" w14:textId="77777777" w:rsidTr="00C45043">
        <w:trPr>
          <w:jc w:val="center"/>
        </w:trPr>
        <w:tc>
          <w:tcPr>
            <w:tcW w:w="1772" w:type="dxa"/>
            <w:shd w:val="clear" w:color="auto" w:fill="D9E2F3" w:themeFill="accent5" w:themeFillTint="33"/>
          </w:tcPr>
          <w:p w14:paraId="33D08170" w14:textId="77777777" w:rsidR="0074241B" w:rsidRPr="001044F8" w:rsidRDefault="0074241B" w:rsidP="00F423B4">
            <w:pPr>
              <w:rPr>
                <w:szCs w:val="22"/>
                <w:lang w:val="is-IS"/>
              </w:rPr>
            </w:pPr>
            <w:r w:rsidRPr="001044F8">
              <w:rPr>
                <w:szCs w:val="22"/>
                <w:lang w:val="is-IS"/>
              </w:rPr>
              <w:t>Korpúlfsstaðir</w:t>
            </w:r>
          </w:p>
        </w:tc>
        <w:tc>
          <w:tcPr>
            <w:tcW w:w="1368" w:type="dxa"/>
            <w:shd w:val="clear" w:color="auto" w:fill="FFF2CC" w:themeFill="accent4" w:themeFillTint="33"/>
          </w:tcPr>
          <w:p w14:paraId="33D08171" w14:textId="77777777" w:rsidR="0074241B" w:rsidRPr="001044F8" w:rsidRDefault="0074241B" w:rsidP="00F423B4">
            <w:pPr>
              <w:jc w:val="center"/>
              <w:rPr>
                <w:szCs w:val="22"/>
                <w:lang w:val="is-IS"/>
              </w:rPr>
            </w:pPr>
            <w:r w:rsidRPr="001044F8">
              <w:rPr>
                <w:szCs w:val="22"/>
                <w:lang w:val="is-IS"/>
              </w:rPr>
              <w:t>5</w:t>
            </w:r>
          </w:p>
        </w:tc>
        <w:tc>
          <w:tcPr>
            <w:tcW w:w="1368" w:type="dxa"/>
            <w:shd w:val="clear" w:color="auto" w:fill="FFF2CC" w:themeFill="accent4" w:themeFillTint="33"/>
          </w:tcPr>
          <w:p w14:paraId="33D08172" w14:textId="77777777" w:rsidR="0074241B" w:rsidRPr="001044F8" w:rsidRDefault="0074241B" w:rsidP="00F423B4">
            <w:pPr>
              <w:jc w:val="center"/>
              <w:rPr>
                <w:szCs w:val="22"/>
                <w:lang w:val="is-IS"/>
              </w:rPr>
            </w:pPr>
            <w:r w:rsidRPr="001044F8">
              <w:rPr>
                <w:szCs w:val="22"/>
                <w:lang w:val="is-IS"/>
              </w:rPr>
              <w:t>10</w:t>
            </w:r>
          </w:p>
        </w:tc>
        <w:tc>
          <w:tcPr>
            <w:tcW w:w="1368" w:type="dxa"/>
            <w:shd w:val="clear" w:color="auto" w:fill="FFF2CC" w:themeFill="accent4" w:themeFillTint="33"/>
          </w:tcPr>
          <w:p w14:paraId="33D08173" w14:textId="77777777" w:rsidR="0074241B" w:rsidRPr="001044F8" w:rsidRDefault="0074241B" w:rsidP="00F423B4">
            <w:pPr>
              <w:jc w:val="center"/>
              <w:rPr>
                <w:szCs w:val="22"/>
                <w:lang w:val="is-IS"/>
              </w:rPr>
            </w:pPr>
            <w:r w:rsidRPr="001044F8">
              <w:rPr>
                <w:szCs w:val="22"/>
                <w:lang w:val="is-IS"/>
              </w:rPr>
              <w:t>5</w:t>
            </w:r>
          </w:p>
        </w:tc>
      </w:tr>
      <w:tr w:rsidR="0074241B" w14:paraId="33D08179" w14:textId="77777777" w:rsidTr="00C45043">
        <w:trPr>
          <w:jc w:val="center"/>
        </w:trPr>
        <w:tc>
          <w:tcPr>
            <w:tcW w:w="1772" w:type="dxa"/>
            <w:shd w:val="clear" w:color="auto" w:fill="D9E2F3" w:themeFill="accent5" w:themeFillTint="33"/>
          </w:tcPr>
          <w:p w14:paraId="33D08175" w14:textId="77777777" w:rsidR="0074241B" w:rsidRPr="001044F8" w:rsidRDefault="0074241B" w:rsidP="00F423B4">
            <w:pPr>
              <w:rPr>
                <w:szCs w:val="22"/>
                <w:lang w:val="is-IS"/>
              </w:rPr>
            </w:pPr>
            <w:r w:rsidRPr="001044F8">
              <w:rPr>
                <w:szCs w:val="22"/>
                <w:lang w:val="is-IS"/>
              </w:rPr>
              <w:t>Kvarsít</w:t>
            </w:r>
          </w:p>
        </w:tc>
        <w:tc>
          <w:tcPr>
            <w:tcW w:w="1368" w:type="dxa"/>
            <w:shd w:val="clear" w:color="auto" w:fill="FFF2CC" w:themeFill="accent4" w:themeFillTint="33"/>
          </w:tcPr>
          <w:p w14:paraId="33D08176" w14:textId="77777777" w:rsidR="0074241B" w:rsidRPr="001044F8" w:rsidRDefault="0074241B" w:rsidP="00F423B4">
            <w:pPr>
              <w:jc w:val="center"/>
              <w:rPr>
                <w:szCs w:val="22"/>
                <w:lang w:val="is-IS"/>
              </w:rPr>
            </w:pPr>
            <w:r w:rsidRPr="001044F8">
              <w:rPr>
                <w:szCs w:val="22"/>
                <w:lang w:val="is-IS"/>
              </w:rPr>
              <w:t>25</w:t>
            </w:r>
          </w:p>
        </w:tc>
        <w:tc>
          <w:tcPr>
            <w:tcW w:w="1368" w:type="dxa"/>
            <w:shd w:val="clear" w:color="auto" w:fill="FFF2CC" w:themeFill="accent4" w:themeFillTint="33"/>
          </w:tcPr>
          <w:p w14:paraId="33D08177" w14:textId="77777777" w:rsidR="0074241B" w:rsidRPr="001044F8" w:rsidRDefault="0074241B" w:rsidP="00F423B4">
            <w:pPr>
              <w:jc w:val="center"/>
              <w:rPr>
                <w:szCs w:val="22"/>
                <w:lang w:val="is-IS"/>
              </w:rPr>
            </w:pPr>
            <w:r w:rsidRPr="001044F8">
              <w:rPr>
                <w:szCs w:val="22"/>
                <w:lang w:val="is-IS"/>
              </w:rPr>
              <w:t>35</w:t>
            </w:r>
          </w:p>
        </w:tc>
        <w:tc>
          <w:tcPr>
            <w:tcW w:w="1368" w:type="dxa"/>
            <w:shd w:val="clear" w:color="auto" w:fill="FFF2CC" w:themeFill="accent4" w:themeFillTint="33"/>
          </w:tcPr>
          <w:p w14:paraId="33D08178" w14:textId="77777777" w:rsidR="0074241B" w:rsidRPr="001044F8" w:rsidRDefault="0074241B" w:rsidP="00F423B4">
            <w:pPr>
              <w:jc w:val="center"/>
              <w:rPr>
                <w:szCs w:val="22"/>
                <w:lang w:val="is-IS"/>
              </w:rPr>
            </w:pPr>
            <w:r w:rsidRPr="001044F8">
              <w:rPr>
                <w:szCs w:val="22"/>
                <w:lang w:val="is-IS"/>
              </w:rPr>
              <w:t>10</w:t>
            </w:r>
          </w:p>
        </w:tc>
      </w:tr>
      <w:tr w:rsidR="0074241B" w14:paraId="33D0817E" w14:textId="77777777" w:rsidTr="00C45043">
        <w:trPr>
          <w:jc w:val="center"/>
        </w:trPr>
        <w:tc>
          <w:tcPr>
            <w:tcW w:w="1772" w:type="dxa"/>
            <w:shd w:val="clear" w:color="auto" w:fill="D9E2F3" w:themeFill="accent5" w:themeFillTint="33"/>
          </w:tcPr>
          <w:p w14:paraId="33D0817A" w14:textId="77777777" w:rsidR="0074241B" w:rsidRPr="001044F8" w:rsidRDefault="0074241B" w:rsidP="00F423B4">
            <w:pPr>
              <w:rPr>
                <w:szCs w:val="22"/>
                <w:lang w:val="is-IS"/>
              </w:rPr>
            </w:pPr>
            <w:r w:rsidRPr="001044F8">
              <w:rPr>
                <w:szCs w:val="22"/>
                <w:lang w:val="is-IS"/>
              </w:rPr>
              <w:t>Melar</w:t>
            </w:r>
          </w:p>
        </w:tc>
        <w:tc>
          <w:tcPr>
            <w:tcW w:w="1368" w:type="dxa"/>
            <w:shd w:val="clear" w:color="auto" w:fill="FFF2CC" w:themeFill="accent4" w:themeFillTint="33"/>
          </w:tcPr>
          <w:p w14:paraId="33D0817B" w14:textId="77777777" w:rsidR="0074241B" w:rsidRPr="001044F8" w:rsidRDefault="0074241B" w:rsidP="00F423B4">
            <w:pPr>
              <w:jc w:val="center"/>
              <w:rPr>
                <w:szCs w:val="22"/>
                <w:lang w:val="is-IS"/>
              </w:rPr>
            </w:pPr>
            <w:r w:rsidRPr="001044F8">
              <w:rPr>
                <w:szCs w:val="22"/>
                <w:lang w:val="is-IS"/>
              </w:rPr>
              <w:t>10</w:t>
            </w:r>
          </w:p>
        </w:tc>
        <w:tc>
          <w:tcPr>
            <w:tcW w:w="1368" w:type="dxa"/>
            <w:shd w:val="clear" w:color="auto" w:fill="FFF2CC" w:themeFill="accent4" w:themeFillTint="33"/>
          </w:tcPr>
          <w:p w14:paraId="33D0817C" w14:textId="77777777" w:rsidR="0074241B" w:rsidRPr="001044F8" w:rsidRDefault="0074241B" w:rsidP="00F423B4">
            <w:pPr>
              <w:jc w:val="center"/>
              <w:rPr>
                <w:szCs w:val="22"/>
                <w:lang w:val="is-IS"/>
              </w:rPr>
            </w:pPr>
            <w:r w:rsidRPr="001044F8">
              <w:rPr>
                <w:szCs w:val="22"/>
                <w:lang w:val="is-IS"/>
              </w:rPr>
              <w:t>25</w:t>
            </w:r>
          </w:p>
        </w:tc>
        <w:tc>
          <w:tcPr>
            <w:tcW w:w="1368" w:type="dxa"/>
            <w:shd w:val="clear" w:color="auto" w:fill="FFF2CC" w:themeFill="accent4" w:themeFillTint="33"/>
          </w:tcPr>
          <w:p w14:paraId="33D0817D" w14:textId="77777777" w:rsidR="0074241B" w:rsidRPr="001044F8" w:rsidRDefault="0074241B" w:rsidP="00F423B4">
            <w:pPr>
              <w:jc w:val="center"/>
              <w:rPr>
                <w:szCs w:val="22"/>
                <w:lang w:val="is-IS"/>
              </w:rPr>
            </w:pPr>
            <w:r w:rsidRPr="001044F8">
              <w:rPr>
                <w:szCs w:val="22"/>
                <w:lang w:val="is-IS"/>
              </w:rPr>
              <w:t>10</w:t>
            </w:r>
          </w:p>
        </w:tc>
      </w:tr>
      <w:tr w:rsidR="0074241B" w14:paraId="33D08183" w14:textId="77777777" w:rsidTr="00C45043">
        <w:trPr>
          <w:jc w:val="center"/>
        </w:trPr>
        <w:tc>
          <w:tcPr>
            <w:tcW w:w="1772" w:type="dxa"/>
            <w:shd w:val="clear" w:color="auto" w:fill="D9E2F3" w:themeFill="accent5" w:themeFillTint="33"/>
          </w:tcPr>
          <w:p w14:paraId="33D0817F" w14:textId="77777777" w:rsidR="0074241B" w:rsidRPr="001044F8" w:rsidRDefault="0074241B" w:rsidP="00F423B4">
            <w:pPr>
              <w:rPr>
                <w:szCs w:val="22"/>
                <w:lang w:val="is-IS"/>
              </w:rPr>
            </w:pPr>
            <w:r w:rsidRPr="001044F8">
              <w:rPr>
                <w:szCs w:val="22"/>
                <w:lang w:val="is-IS"/>
              </w:rPr>
              <w:t>Núpar</w:t>
            </w:r>
          </w:p>
        </w:tc>
        <w:tc>
          <w:tcPr>
            <w:tcW w:w="1368" w:type="dxa"/>
            <w:shd w:val="clear" w:color="auto" w:fill="FFF2CC" w:themeFill="accent4" w:themeFillTint="33"/>
          </w:tcPr>
          <w:p w14:paraId="33D08180" w14:textId="77777777" w:rsidR="0074241B" w:rsidRPr="001044F8" w:rsidRDefault="0074241B" w:rsidP="00F423B4">
            <w:pPr>
              <w:jc w:val="center"/>
              <w:rPr>
                <w:szCs w:val="22"/>
                <w:lang w:val="is-IS"/>
              </w:rPr>
            </w:pPr>
            <w:r w:rsidRPr="001044F8">
              <w:rPr>
                <w:szCs w:val="22"/>
                <w:lang w:val="is-IS"/>
              </w:rPr>
              <w:t>5</w:t>
            </w:r>
          </w:p>
        </w:tc>
        <w:tc>
          <w:tcPr>
            <w:tcW w:w="1368" w:type="dxa"/>
            <w:shd w:val="clear" w:color="auto" w:fill="FFF2CC" w:themeFill="accent4" w:themeFillTint="33"/>
          </w:tcPr>
          <w:p w14:paraId="33D08181" w14:textId="77777777" w:rsidR="0074241B" w:rsidRPr="001044F8" w:rsidRDefault="0074241B" w:rsidP="00F423B4">
            <w:pPr>
              <w:jc w:val="center"/>
              <w:rPr>
                <w:szCs w:val="22"/>
                <w:lang w:val="is-IS"/>
              </w:rPr>
            </w:pPr>
            <w:r w:rsidRPr="001044F8">
              <w:rPr>
                <w:szCs w:val="22"/>
                <w:lang w:val="is-IS"/>
              </w:rPr>
              <w:t>15</w:t>
            </w:r>
          </w:p>
        </w:tc>
        <w:tc>
          <w:tcPr>
            <w:tcW w:w="1368" w:type="dxa"/>
            <w:shd w:val="clear" w:color="auto" w:fill="FFF2CC" w:themeFill="accent4" w:themeFillTint="33"/>
          </w:tcPr>
          <w:p w14:paraId="33D08182" w14:textId="77777777" w:rsidR="0074241B" w:rsidRPr="001044F8" w:rsidRDefault="0074241B" w:rsidP="00F423B4">
            <w:pPr>
              <w:jc w:val="center"/>
              <w:rPr>
                <w:szCs w:val="22"/>
                <w:lang w:val="is-IS"/>
              </w:rPr>
            </w:pPr>
            <w:r w:rsidRPr="001044F8">
              <w:rPr>
                <w:szCs w:val="22"/>
                <w:lang w:val="is-IS"/>
              </w:rPr>
              <w:t>5</w:t>
            </w:r>
          </w:p>
        </w:tc>
      </w:tr>
      <w:tr w:rsidR="0074241B" w14:paraId="33D08188" w14:textId="77777777" w:rsidTr="00C45043">
        <w:trPr>
          <w:jc w:val="center"/>
        </w:trPr>
        <w:tc>
          <w:tcPr>
            <w:tcW w:w="1772" w:type="dxa"/>
            <w:shd w:val="clear" w:color="auto" w:fill="D9E2F3" w:themeFill="accent5" w:themeFillTint="33"/>
          </w:tcPr>
          <w:p w14:paraId="33D08184" w14:textId="77777777" w:rsidR="0074241B" w:rsidRPr="001044F8" w:rsidRDefault="0074241B" w:rsidP="00F423B4">
            <w:pPr>
              <w:rPr>
                <w:szCs w:val="22"/>
                <w:lang w:val="is-IS"/>
              </w:rPr>
            </w:pPr>
            <w:r w:rsidRPr="001044F8">
              <w:rPr>
                <w:szCs w:val="22"/>
                <w:lang w:val="is-IS"/>
              </w:rPr>
              <w:t>Snasi</w:t>
            </w:r>
          </w:p>
        </w:tc>
        <w:tc>
          <w:tcPr>
            <w:tcW w:w="1368" w:type="dxa"/>
            <w:shd w:val="clear" w:color="auto" w:fill="FFF2CC" w:themeFill="accent4" w:themeFillTint="33"/>
          </w:tcPr>
          <w:p w14:paraId="33D08185" w14:textId="77777777" w:rsidR="0074241B" w:rsidRPr="001044F8" w:rsidRDefault="0074241B" w:rsidP="00F423B4">
            <w:pPr>
              <w:jc w:val="center"/>
              <w:rPr>
                <w:szCs w:val="22"/>
                <w:lang w:val="is-IS"/>
              </w:rPr>
            </w:pPr>
            <w:r w:rsidRPr="001044F8">
              <w:rPr>
                <w:szCs w:val="22"/>
                <w:lang w:val="is-IS"/>
              </w:rPr>
              <w:t>30</w:t>
            </w:r>
          </w:p>
        </w:tc>
        <w:tc>
          <w:tcPr>
            <w:tcW w:w="1368" w:type="dxa"/>
            <w:shd w:val="clear" w:color="auto" w:fill="FFF2CC" w:themeFill="accent4" w:themeFillTint="33"/>
          </w:tcPr>
          <w:p w14:paraId="33D08186" w14:textId="77777777" w:rsidR="0074241B" w:rsidRPr="001044F8" w:rsidRDefault="0074241B" w:rsidP="00F423B4">
            <w:pPr>
              <w:jc w:val="center"/>
              <w:rPr>
                <w:szCs w:val="22"/>
                <w:lang w:val="is-IS"/>
              </w:rPr>
            </w:pPr>
            <w:r w:rsidRPr="001044F8">
              <w:rPr>
                <w:szCs w:val="22"/>
                <w:lang w:val="is-IS"/>
              </w:rPr>
              <w:t>40</w:t>
            </w:r>
          </w:p>
        </w:tc>
        <w:tc>
          <w:tcPr>
            <w:tcW w:w="1368" w:type="dxa"/>
            <w:shd w:val="clear" w:color="auto" w:fill="FFF2CC" w:themeFill="accent4" w:themeFillTint="33"/>
          </w:tcPr>
          <w:p w14:paraId="33D08187" w14:textId="77777777" w:rsidR="0074241B" w:rsidRPr="001044F8" w:rsidRDefault="0074241B" w:rsidP="00F423B4">
            <w:pPr>
              <w:jc w:val="center"/>
              <w:rPr>
                <w:szCs w:val="22"/>
                <w:lang w:val="is-IS"/>
              </w:rPr>
            </w:pPr>
            <w:r w:rsidRPr="001044F8">
              <w:rPr>
                <w:szCs w:val="22"/>
                <w:lang w:val="is-IS"/>
              </w:rPr>
              <w:t>30</w:t>
            </w:r>
          </w:p>
        </w:tc>
      </w:tr>
      <w:tr w:rsidR="0074241B" w14:paraId="33D0818D" w14:textId="77777777" w:rsidTr="00C45043">
        <w:trPr>
          <w:jc w:val="center"/>
        </w:trPr>
        <w:tc>
          <w:tcPr>
            <w:tcW w:w="1772" w:type="dxa"/>
            <w:shd w:val="clear" w:color="auto" w:fill="D9E2F3" w:themeFill="accent5" w:themeFillTint="33"/>
          </w:tcPr>
          <w:p w14:paraId="33D08189" w14:textId="77777777" w:rsidR="0074241B" w:rsidRPr="001044F8" w:rsidRDefault="0074241B" w:rsidP="00F423B4">
            <w:pPr>
              <w:rPr>
                <w:szCs w:val="22"/>
                <w:lang w:val="is-IS"/>
              </w:rPr>
            </w:pPr>
            <w:r w:rsidRPr="001044F8">
              <w:rPr>
                <w:szCs w:val="22"/>
                <w:lang w:val="is-IS"/>
              </w:rPr>
              <w:t>Stardalur</w:t>
            </w:r>
          </w:p>
        </w:tc>
        <w:tc>
          <w:tcPr>
            <w:tcW w:w="1368" w:type="dxa"/>
            <w:shd w:val="clear" w:color="auto" w:fill="FFF2CC" w:themeFill="accent4" w:themeFillTint="33"/>
          </w:tcPr>
          <w:p w14:paraId="33D0818A" w14:textId="77777777" w:rsidR="0074241B" w:rsidRPr="001044F8" w:rsidRDefault="0074241B" w:rsidP="00F423B4">
            <w:pPr>
              <w:jc w:val="center"/>
              <w:rPr>
                <w:szCs w:val="22"/>
                <w:lang w:val="is-IS"/>
              </w:rPr>
            </w:pPr>
            <w:r w:rsidRPr="001044F8">
              <w:rPr>
                <w:szCs w:val="22"/>
                <w:lang w:val="is-IS"/>
              </w:rPr>
              <w:t>25</w:t>
            </w:r>
          </w:p>
        </w:tc>
        <w:tc>
          <w:tcPr>
            <w:tcW w:w="1368" w:type="dxa"/>
            <w:shd w:val="clear" w:color="auto" w:fill="FFF2CC" w:themeFill="accent4" w:themeFillTint="33"/>
          </w:tcPr>
          <w:p w14:paraId="33D0818B" w14:textId="77777777" w:rsidR="0074241B" w:rsidRPr="001044F8" w:rsidRDefault="0074241B" w:rsidP="00F423B4">
            <w:pPr>
              <w:jc w:val="center"/>
              <w:rPr>
                <w:szCs w:val="22"/>
                <w:lang w:val="is-IS"/>
              </w:rPr>
            </w:pPr>
            <w:r w:rsidRPr="001044F8">
              <w:rPr>
                <w:szCs w:val="22"/>
                <w:lang w:val="is-IS"/>
              </w:rPr>
              <w:t>35</w:t>
            </w:r>
          </w:p>
        </w:tc>
        <w:tc>
          <w:tcPr>
            <w:tcW w:w="1368" w:type="dxa"/>
            <w:shd w:val="clear" w:color="auto" w:fill="FFF2CC" w:themeFill="accent4" w:themeFillTint="33"/>
          </w:tcPr>
          <w:p w14:paraId="33D0818C" w14:textId="77777777" w:rsidR="0074241B" w:rsidRPr="001044F8" w:rsidRDefault="0074241B" w:rsidP="00F423B4">
            <w:pPr>
              <w:jc w:val="center"/>
              <w:rPr>
                <w:szCs w:val="22"/>
                <w:lang w:val="is-IS"/>
              </w:rPr>
            </w:pPr>
            <w:r w:rsidRPr="001044F8">
              <w:rPr>
                <w:szCs w:val="22"/>
                <w:lang w:val="is-IS"/>
              </w:rPr>
              <w:t>20</w:t>
            </w:r>
          </w:p>
        </w:tc>
      </w:tr>
      <w:tr w:rsidR="0074241B" w14:paraId="33D08192" w14:textId="77777777" w:rsidTr="00C45043">
        <w:trPr>
          <w:jc w:val="center"/>
        </w:trPr>
        <w:tc>
          <w:tcPr>
            <w:tcW w:w="1772" w:type="dxa"/>
            <w:shd w:val="clear" w:color="auto" w:fill="D9E2F3" w:themeFill="accent5" w:themeFillTint="33"/>
          </w:tcPr>
          <w:p w14:paraId="33D0818E" w14:textId="77777777" w:rsidR="0074241B" w:rsidRPr="001044F8" w:rsidRDefault="0074241B" w:rsidP="00F423B4">
            <w:pPr>
              <w:rPr>
                <w:szCs w:val="22"/>
                <w:lang w:val="is-IS"/>
              </w:rPr>
            </w:pPr>
            <w:r w:rsidRPr="001044F8">
              <w:rPr>
                <w:szCs w:val="22"/>
                <w:lang w:val="is-IS"/>
              </w:rPr>
              <w:t>Stóra-Fellsöxl</w:t>
            </w:r>
          </w:p>
        </w:tc>
        <w:tc>
          <w:tcPr>
            <w:tcW w:w="1368" w:type="dxa"/>
            <w:shd w:val="clear" w:color="auto" w:fill="FFF2CC" w:themeFill="accent4" w:themeFillTint="33"/>
          </w:tcPr>
          <w:p w14:paraId="33D0818F" w14:textId="77777777" w:rsidR="0074241B" w:rsidRPr="001044F8" w:rsidRDefault="0074241B" w:rsidP="00F423B4">
            <w:pPr>
              <w:jc w:val="center"/>
              <w:rPr>
                <w:szCs w:val="22"/>
                <w:lang w:val="is-IS"/>
              </w:rPr>
            </w:pPr>
            <w:r w:rsidRPr="001044F8">
              <w:rPr>
                <w:szCs w:val="22"/>
                <w:lang w:val="is-IS"/>
              </w:rPr>
              <w:t>10</w:t>
            </w:r>
          </w:p>
        </w:tc>
        <w:tc>
          <w:tcPr>
            <w:tcW w:w="1368" w:type="dxa"/>
            <w:shd w:val="clear" w:color="auto" w:fill="FFF2CC" w:themeFill="accent4" w:themeFillTint="33"/>
          </w:tcPr>
          <w:p w14:paraId="33D08190" w14:textId="77777777" w:rsidR="0074241B" w:rsidRPr="001044F8" w:rsidRDefault="0074241B" w:rsidP="00F423B4">
            <w:pPr>
              <w:jc w:val="center"/>
              <w:rPr>
                <w:szCs w:val="22"/>
                <w:lang w:val="is-IS"/>
              </w:rPr>
            </w:pPr>
            <w:r w:rsidRPr="001044F8">
              <w:rPr>
                <w:szCs w:val="22"/>
                <w:lang w:val="is-IS"/>
              </w:rPr>
              <w:t>30</w:t>
            </w:r>
          </w:p>
        </w:tc>
        <w:tc>
          <w:tcPr>
            <w:tcW w:w="1368" w:type="dxa"/>
            <w:shd w:val="clear" w:color="auto" w:fill="FFF2CC" w:themeFill="accent4" w:themeFillTint="33"/>
          </w:tcPr>
          <w:p w14:paraId="33D08191" w14:textId="77777777" w:rsidR="0074241B" w:rsidRPr="001044F8" w:rsidRDefault="0074241B" w:rsidP="00F423B4">
            <w:pPr>
              <w:jc w:val="center"/>
              <w:rPr>
                <w:szCs w:val="22"/>
                <w:lang w:val="is-IS"/>
              </w:rPr>
            </w:pPr>
            <w:r w:rsidRPr="001044F8">
              <w:rPr>
                <w:szCs w:val="22"/>
                <w:lang w:val="is-IS"/>
              </w:rPr>
              <w:t>10</w:t>
            </w:r>
          </w:p>
        </w:tc>
      </w:tr>
      <w:tr w:rsidR="0074241B" w14:paraId="33D08197" w14:textId="77777777" w:rsidTr="00C45043">
        <w:trPr>
          <w:jc w:val="center"/>
        </w:trPr>
        <w:tc>
          <w:tcPr>
            <w:tcW w:w="1772" w:type="dxa"/>
            <w:shd w:val="clear" w:color="auto" w:fill="D9E2F3" w:themeFill="accent5" w:themeFillTint="33"/>
          </w:tcPr>
          <w:p w14:paraId="33D08193" w14:textId="77777777" w:rsidR="0074241B" w:rsidRPr="001044F8" w:rsidRDefault="0074241B" w:rsidP="00F423B4">
            <w:pPr>
              <w:rPr>
                <w:szCs w:val="22"/>
                <w:lang w:val="is-IS"/>
              </w:rPr>
            </w:pPr>
            <w:r w:rsidRPr="001044F8">
              <w:rPr>
                <w:szCs w:val="22"/>
                <w:lang w:val="is-IS"/>
              </w:rPr>
              <w:t>Stóra-Laxá</w:t>
            </w:r>
          </w:p>
        </w:tc>
        <w:tc>
          <w:tcPr>
            <w:tcW w:w="1368" w:type="dxa"/>
            <w:shd w:val="clear" w:color="auto" w:fill="FFF2CC" w:themeFill="accent4" w:themeFillTint="33"/>
          </w:tcPr>
          <w:p w14:paraId="33D08194" w14:textId="77777777" w:rsidR="0074241B" w:rsidRPr="001044F8" w:rsidRDefault="0074241B" w:rsidP="00F423B4">
            <w:pPr>
              <w:jc w:val="center"/>
              <w:rPr>
                <w:szCs w:val="22"/>
                <w:lang w:val="is-IS"/>
              </w:rPr>
            </w:pPr>
            <w:r w:rsidRPr="001044F8">
              <w:rPr>
                <w:szCs w:val="22"/>
                <w:lang w:val="is-IS"/>
              </w:rPr>
              <w:t>20</w:t>
            </w:r>
          </w:p>
        </w:tc>
        <w:tc>
          <w:tcPr>
            <w:tcW w:w="1368" w:type="dxa"/>
            <w:shd w:val="clear" w:color="auto" w:fill="FFF2CC" w:themeFill="accent4" w:themeFillTint="33"/>
          </w:tcPr>
          <w:p w14:paraId="33D08195" w14:textId="77777777" w:rsidR="0074241B" w:rsidRPr="001044F8" w:rsidRDefault="0074241B" w:rsidP="00F423B4">
            <w:pPr>
              <w:jc w:val="center"/>
              <w:rPr>
                <w:szCs w:val="22"/>
                <w:lang w:val="is-IS"/>
              </w:rPr>
            </w:pPr>
            <w:r w:rsidRPr="001044F8">
              <w:rPr>
                <w:szCs w:val="22"/>
                <w:lang w:val="is-IS"/>
              </w:rPr>
              <w:t>25</w:t>
            </w:r>
          </w:p>
        </w:tc>
        <w:tc>
          <w:tcPr>
            <w:tcW w:w="1368" w:type="dxa"/>
            <w:shd w:val="clear" w:color="auto" w:fill="FFF2CC" w:themeFill="accent4" w:themeFillTint="33"/>
          </w:tcPr>
          <w:p w14:paraId="33D08196" w14:textId="77777777" w:rsidR="0074241B" w:rsidRPr="001044F8" w:rsidRDefault="0074241B" w:rsidP="00F423B4">
            <w:pPr>
              <w:jc w:val="center"/>
              <w:rPr>
                <w:szCs w:val="22"/>
                <w:lang w:val="is-IS"/>
              </w:rPr>
            </w:pPr>
            <w:r w:rsidRPr="001044F8">
              <w:rPr>
                <w:szCs w:val="22"/>
                <w:lang w:val="is-IS"/>
              </w:rPr>
              <w:t>15</w:t>
            </w:r>
          </w:p>
        </w:tc>
      </w:tr>
      <w:tr w:rsidR="0074241B" w14:paraId="33D0819C" w14:textId="77777777" w:rsidTr="00C45043">
        <w:trPr>
          <w:jc w:val="center"/>
        </w:trPr>
        <w:tc>
          <w:tcPr>
            <w:tcW w:w="1772" w:type="dxa"/>
            <w:shd w:val="clear" w:color="auto" w:fill="D9E2F3" w:themeFill="accent5" w:themeFillTint="33"/>
          </w:tcPr>
          <w:p w14:paraId="33D08198" w14:textId="77777777" w:rsidR="0074241B" w:rsidRPr="001044F8" w:rsidRDefault="0074241B" w:rsidP="00F423B4">
            <w:pPr>
              <w:rPr>
                <w:szCs w:val="22"/>
                <w:lang w:val="is-IS"/>
              </w:rPr>
            </w:pPr>
            <w:r w:rsidRPr="001044F8">
              <w:rPr>
                <w:szCs w:val="22"/>
                <w:lang w:val="is-IS"/>
              </w:rPr>
              <w:t>Vatnsskarð</w:t>
            </w:r>
          </w:p>
        </w:tc>
        <w:tc>
          <w:tcPr>
            <w:tcW w:w="1368" w:type="dxa"/>
            <w:shd w:val="clear" w:color="auto" w:fill="FFF2CC" w:themeFill="accent4" w:themeFillTint="33"/>
          </w:tcPr>
          <w:p w14:paraId="33D08199" w14:textId="77777777" w:rsidR="0074241B" w:rsidRPr="001044F8" w:rsidRDefault="0074241B" w:rsidP="00F423B4">
            <w:pPr>
              <w:jc w:val="center"/>
              <w:rPr>
                <w:szCs w:val="22"/>
                <w:lang w:val="is-IS"/>
              </w:rPr>
            </w:pPr>
            <w:r w:rsidRPr="001044F8">
              <w:rPr>
                <w:szCs w:val="22"/>
                <w:lang w:val="is-IS"/>
              </w:rPr>
              <w:t>5</w:t>
            </w:r>
          </w:p>
        </w:tc>
        <w:tc>
          <w:tcPr>
            <w:tcW w:w="1368" w:type="dxa"/>
            <w:shd w:val="clear" w:color="auto" w:fill="FFF2CC" w:themeFill="accent4" w:themeFillTint="33"/>
          </w:tcPr>
          <w:p w14:paraId="33D0819A" w14:textId="77777777" w:rsidR="0074241B" w:rsidRPr="001044F8" w:rsidRDefault="0074241B" w:rsidP="00F423B4">
            <w:pPr>
              <w:jc w:val="center"/>
              <w:rPr>
                <w:szCs w:val="22"/>
                <w:lang w:val="is-IS"/>
              </w:rPr>
            </w:pPr>
            <w:r w:rsidRPr="001044F8">
              <w:rPr>
                <w:szCs w:val="22"/>
                <w:lang w:val="is-IS"/>
              </w:rPr>
              <w:t>10</w:t>
            </w:r>
          </w:p>
        </w:tc>
        <w:tc>
          <w:tcPr>
            <w:tcW w:w="1368" w:type="dxa"/>
            <w:shd w:val="clear" w:color="auto" w:fill="FFF2CC" w:themeFill="accent4" w:themeFillTint="33"/>
          </w:tcPr>
          <w:p w14:paraId="33D0819B" w14:textId="77777777" w:rsidR="0074241B" w:rsidRPr="001044F8" w:rsidRDefault="0074241B" w:rsidP="00F423B4">
            <w:pPr>
              <w:jc w:val="center"/>
              <w:rPr>
                <w:szCs w:val="22"/>
                <w:lang w:val="is-IS"/>
              </w:rPr>
            </w:pPr>
            <w:r w:rsidRPr="001044F8">
              <w:rPr>
                <w:szCs w:val="22"/>
                <w:lang w:val="is-IS"/>
              </w:rPr>
              <w:t>5</w:t>
            </w:r>
          </w:p>
        </w:tc>
      </w:tr>
    </w:tbl>
    <w:p w14:paraId="33D0819D" w14:textId="77777777" w:rsidR="0074241B" w:rsidRDefault="0074241B" w:rsidP="0074241B">
      <w:pPr>
        <w:jc w:val="center"/>
        <w:rPr>
          <w:sz w:val="24"/>
          <w:szCs w:val="24"/>
          <w:lang w:val="is-IS"/>
        </w:rPr>
      </w:pPr>
    </w:p>
    <w:p w14:paraId="33D0819E" w14:textId="6AA3420D" w:rsidR="0074241B" w:rsidRPr="00855F56" w:rsidRDefault="00A238BE" w:rsidP="0074241B">
      <w:pPr>
        <w:jc w:val="both"/>
        <w:rPr>
          <w:szCs w:val="22"/>
          <w:lang w:val="is-IS"/>
        </w:rPr>
      </w:pPr>
      <w:r>
        <w:rPr>
          <w:szCs w:val="22"/>
          <w:lang w:val="is-IS"/>
        </w:rPr>
        <w:t>Gerð</w:t>
      </w:r>
      <w:r w:rsidR="0074241B" w:rsidRPr="00855F56">
        <w:rPr>
          <w:szCs w:val="22"/>
          <w:lang w:val="is-IS"/>
        </w:rPr>
        <w:t xml:space="preserve"> voru rúlluflöskupróf vorið 2007 á viðloðun fjögurra steinefna (Durasplitt, Harðikambur, Hólabrú og Seljadalur) við mjúkt bik, með og án viðloðunarefnis (0,3% Wetfix I), fyrst og fremst til að kanna nákvæmni prófsins [Arnþór Ó. Arason, 2007]. Tveir rannsóknamenn mátu þakningu að prófun lokinni, óháð hvor öðrum. Lausleg athugun á niðurstöðunum </w:t>
      </w:r>
      <w:r w:rsidR="00855F56" w:rsidRPr="00855F56">
        <w:rPr>
          <w:szCs w:val="22"/>
          <w:lang w:val="is-IS"/>
        </w:rPr>
        <w:t>sýnir</w:t>
      </w:r>
      <w:r w:rsidR="0074241B" w:rsidRPr="00855F56">
        <w:rPr>
          <w:szCs w:val="22"/>
          <w:lang w:val="is-IS"/>
        </w:rPr>
        <w:t xml:space="preserve"> lítinn (5 prósentustiga) en marktækan mismun á mati þeirra. Viðloðunarprófin voru ekki endurtekin, en samanburður á niðurstöðum hlutsýna (sem eru þrjú í hverri prófun) gefa til kynna að staðalfrávik þakningar á hlutsýnum sé að meðaltali rúm fjögur prósentustig og að ólíklegt sé að mismunur endurtekinna viðloðunarprófa með þessum hætti fari yfir 10 prósentustig, ef annarhvor áðurnefndra rannsóknarmanna prófar. </w:t>
      </w:r>
    </w:p>
    <w:p w14:paraId="33D0819F" w14:textId="06D5C870" w:rsidR="0074241B" w:rsidRDefault="0074241B" w:rsidP="0074241B">
      <w:pPr>
        <w:ind w:firstLine="342"/>
        <w:jc w:val="both"/>
        <w:rPr>
          <w:szCs w:val="22"/>
          <w:lang w:val="is-IS"/>
        </w:rPr>
      </w:pPr>
      <w:r w:rsidRPr="00855F56">
        <w:rPr>
          <w:szCs w:val="22"/>
          <w:lang w:val="is-IS"/>
        </w:rPr>
        <w:t>Í lokin má geta staðals um prófanir á viðloðun í rúlluflöskuprófi [ÍST EN 12697-11]. Þar segir að óformlegar athuganir á rúlluflöskuprófi sýni að „repeatability“ (endurtekningar</w:t>
      </w:r>
      <w:r w:rsidR="00855F56">
        <w:rPr>
          <w:szCs w:val="22"/>
          <w:lang w:val="is-IS"/>
        </w:rPr>
        <w:softHyphen/>
      </w:r>
      <w:r w:rsidRPr="00855F56">
        <w:rPr>
          <w:szCs w:val="22"/>
          <w:lang w:val="is-IS"/>
        </w:rPr>
        <w:lastRenderedPageBreak/>
        <w:t>nákvæmni prófsins innan sömu rannsóknastofu) sé 20% og „reproducibility“ (endur</w:t>
      </w:r>
      <w:r w:rsidR="00855F56">
        <w:rPr>
          <w:szCs w:val="22"/>
          <w:lang w:val="is-IS"/>
        </w:rPr>
        <w:softHyphen/>
      </w:r>
      <w:r w:rsidRPr="00855F56">
        <w:rPr>
          <w:szCs w:val="22"/>
          <w:lang w:val="is-IS"/>
        </w:rPr>
        <w:t xml:space="preserve">tekningarnákvæmni prófsins milli rannsóknastofa) sé 30%. Með öðrum orðum er ekki ástæða til að rengja niðurstöður tveggja prófana samkvæmt staðlinum á sams konar sýnum sem sami maður prófar á sömu stofu með sama tækjabúnaði, meðan mismunur þessara tveggja prófana fer ekki yfir 20%. Á hliðstæðan hátt er ekki ástæða til að rengja niðurstöður tveggja prófana á samskonar sýnum sem </w:t>
      </w:r>
      <w:r w:rsidR="00855F56" w:rsidRPr="00855F56">
        <w:rPr>
          <w:szCs w:val="22"/>
          <w:lang w:val="is-IS"/>
        </w:rPr>
        <w:t xml:space="preserve">sinn </w:t>
      </w:r>
      <w:r w:rsidRPr="00855F56">
        <w:rPr>
          <w:szCs w:val="22"/>
          <w:lang w:val="is-IS"/>
        </w:rPr>
        <w:t xml:space="preserve">hvor maðurinn prófar, hvor á sinni rannsóknastofu, hvor með sínum tækjabúnaði, meðan mismunur þessara tveggja prófana fer ekki yfir </w:t>
      </w:r>
      <w:r w:rsidR="00855F56">
        <w:rPr>
          <w:szCs w:val="22"/>
          <w:lang w:val="is-IS"/>
        </w:rPr>
        <w:t>3</w:t>
      </w:r>
      <w:r w:rsidRPr="00855F56">
        <w:rPr>
          <w:szCs w:val="22"/>
          <w:lang w:val="is-IS"/>
        </w:rPr>
        <w:t>0%.</w:t>
      </w:r>
    </w:p>
    <w:p w14:paraId="33D081A0" w14:textId="77777777" w:rsidR="006709F0" w:rsidRPr="00855F56" w:rsidRDefault="006709F0" w:rsidP="0074241B">
      <w:pPr>
        <w:ind w:firstLine="342"/>
        <w:jc w:val="both"/>
        <w:rPr>
          <w:szCs w:val="22"/>
          <w:lang w:val="is-IS"/>
        </w:rPr>
      </w:pPr>
    </w:p>
    <w:p w14:paraId="33D081A1" w14:textId="77777777" w:rsidR="006709F0" w:rsidRPr="006D2859" w:rsidRDefault="006709F0" w:rsidP="006709F0">
      <w:pPr>
        <w:ind w:firstLine="340"/>
        <w:jc w:val="both"/>
        <w:rPr>
          <w:b/>
          <w:color w:val="FF0000"/>
          <w:lang w:val="is-IS"/>
        </w:rPr>
      </w:pPr>
      <w:r w:rsidRPr="006D2859">
        <w:rPr>
          <w:b/>
          <w:color w:val="FF0000"/>
          <w:lang w:val="is-IS"/>
        </w:rPr>
        <w:t>ATHUGASEMD RITSTJÓRNAR Í JANÚAR 2020</w:t>
      </w:r>
    </w:p>
    <w:p w14:paraId="33D081A3" w14:textId="765F2B54" w:rsidR="00E57041" w:rsidRDefault="006709F0" w:rsidP="0074241B">
      <w:pPr>
        <w:jc w:val="both"/>
        <w:rPr>
          <w:color w:val="FF0000"/>
        </w:rPr>
      </w:pPr>
      <w:r w:rsidRPr="006D2859">
        <w:rPr>
          <w:color w:val="FF0000"/>
        </w:rPr>
        <w:t>Þessi kafli fær að halda sér að langmestu leyti.</w:t>
      </w:r>
    </w:p>
    <w:p w14:paraId="3C0E3C9D" w14:textId="77777777" w:rsidR="006D2859" w:rsidRPr="006D2859" w:rsidRDefault="006D2859" w:rsidP="0074241B">
      <w:pPr>
        <w:jc w:val="both"/>
        <w:rPr>
          <w:color w:val="FF0000"/>
          <w:sz w:val="24"/>
          <w:szCs w:val="24"/>
          <w:lang w:val="is-IS"/>
        </w:rPr>
      </w:pPr>
    </w:p>
    <w:p w14:paraId="33D081A4" w14:textId="77777777" w:rsidR="0074241B" w:rsidRPr="006550BC" w:rsidRDefault="0074241B" w:rsidP="00E57041">
      <w:pPr>
        <w:spacing w:after="60"/>
        <w:rPr>
          <w:b/>
          <w:sz w:val="24"/>
          <w:szCs w:val="24"/>
          <w:lang w:val="is-IS"/>
        </w:rPr>
      </w:pPr>
      <w:r>
        <w:rPr>
          <w:b/>
          <w:sz w:val="24"/>
          <w:szCs w:val="24"/>
          <w:lang w:val="is-IS"/>
        </w:rPr>
        <w:t>HEIMILDIR</w:t>
      </w:r>
    </w:p>
    <w:p w14:paraId="33D081A5" w14:textId="77777777" w:rsidR="0074241B" w:rsidRPr="00855F56" w:rsidRDefault="0074241B" w:rsidP="0074241B">
      <w:pPr>
        <w:ind w:left="513" w:hanging="513"/>
        <w:jc w:val="both"/>
        <w:rPr>
          <w:szCs w:val="22"/>
          <w:lang w:val="is-IS"/>
        </w:rPr>
      </w:pPr>
      <w:r w:rsidRPr="00855F56">
        <w:rPr>
          <w:szCs w:val="22"/>
          <w:lang w:val="is-IS"/>
        </w:rPr>
        <w:t xml:space="preserve">Alverk ´95. 1995. </w:t>
      </w:r>
      <w:r w:rsidRPr="00855F56">
        <w:rPr>
          <w:i/>
          <w:szCs w:val="22"/>
          <w:lang w:val="is-IS"/>
        </w:rPr>
        <w:t>Almenn verklýsing fyrir vega og brúargerð.</w:t>
      </w:r>
      <w:r w:rsidRPr="00855F56">
        <w:rPr>
          <w:szCs w:val="22"/>
          <w:lang w:val="is-IS"/>
        </w:rPr>
        <w:t xml:space="preserve"> Vegagerðin, Reykjavík.</w:t>
      </w:r>
    </w:p>
    <w:p w14:paraId="33D081A6" w14:textId="093819B2" w:rsidR="0074241B" w:rsidRPr="00855F56" w:rsidRDefault="0074241B" w:rsidP="0074241B">
      <w:pPr>
        <w:ind w:left="513" w:hanging="513"/>
        <w:jc w:val="both"/>
        <w:rPr>
          <w:szCs w:val="22"/>
          <w:lang w:val="is-IS"/>
        </w:rPr>
      </w:pPr>
      <w:r w:rsidRPr="00855F56">
        <w:rPr>
          <w:szCs w:val="22"/>
          <w:lang w:val="is-IS"/>
        </w:rPr>
        <w:t xml:space="preserve">Arnþór Ó. Arason. 2007. </w:t>
      </w:r>
      <w:r w:rsidRPr="00855F56">
        <w:rPr>
          <w:i/>
          <w:szCs w:val="22"/>
          <w:lang w:val="is-IS"/>
        </w:rPr>
        <w:t>Rúlluflöskupróf skv. ÍST EN 12697-11.</w:t>
      </w:r>
      <w:r w:rsidRPr="00855F56">
        <w:rPr>
          <w:szCs w:val="22"/>
          <w:lang w:val="is-IS"/>
        </w:rPr>
        <w:t xml:space="preserve"> Óbirt minnisblöð frá prófunum á Rannsóknastofnun byggingariðnaðarins.</w:t>
      </w:r>
    </w:p>
    <w:p w14:paraId="33D081A7" w14:textId="77777777" w:rsidR="0074241B" w:rsidRPr="00855F56" w:rsidRDefault="0074241B" w:rsidP="0074241B">
      <w:pPr>
        <w:ind w:left="340" w:hanging="340"/>
        <w:jc w:val="both"/>
        <w:rPr>
          <w:szCs w:val="22"/>
          <w:lang w:val="is-IS"/>
        </w:rPr>
      </w:pPr>
      <w:r w:rsidRPr="00855F56">
        <w:rPr>
          <w:szCs w:val="22"/>
          <w:lang w:val="is-IS"/>
        </w:rPr>
        <w:t xml:space="preserve">ÍST EN 12697-11:2005. </w:t>
      </w:r>
      <w:r w:rsidRPr="00855F56">
        <w:rPr>
          <w:i/>
          <w:szCs w:val="22"/>
          <w:lang w:val="is-IS"/>
        </w:rPr>
        <w:t>Bituminous mixtures – Test methods for hot mix asphalt – Part 11: Determination of the affinity between aggregate and bitumen.</w:t>
      </w:r>
      <w:r w:rsidRPr="00855F56">
        <w:rPr>
          <w:szCs w:val="22"/>
          <w:lang w:val="is-IS"/>
        </w:rPr>
        <w:t xml:space="preserve"> Staðlaráð Íslands, Reykjavík.</w:t>
      </w:r>
    </w:p>
    <w:p w14:paraId="33D081A8" w14:textId="77777777" w:rsidR="0074241B" w:rsidRPr="00855F56" w:rsidRDefault="0074241B" w:rsidP="0074241B">
      <w:pPr>
        <w:ind w:left="513" w:hanging="513"/>
        <w:jc w:val="both"/>
        <w:rPr>
          <w:szCs w:val="22"/>
          <w:lang w:val="is-IS"/>
        </w:rPr>
      </w:pPr>
      <w:r w:rsidRPr="00855F56">
        <w:rPr>
          <w:szCs w:val="22"/>
          <w:lang w:val="is-IS"/>
        </w:rPr>
        <w:t xml:space="preserve">Nordisk Vegteknisk Forbund. 1986. </w:t>
      </w:r>
      <w:r w:rsidRPr="00855F56">
        <w:rPr>
          <w:i/>
          <w:szCs w:val="22"/>
          <w:lang w:val="is-IS"/>
        </w:rPr>
        <w:t>Bruk av poröst steinmateriale til asfaltdekker.</w:t>
      </w:r>
      <w:r w:rsidRPr="00855F56">
        <w:rPr>
          <w:szCs w:val="22"/>
          <w:lang w:val="is-IS"/>
        </w:rPr>
        <w:t xml:space="preserve"> Utvalg 33- Asfaltbel</w:t>
      </w:r>
      <w:r w:rsidR="001F0FB6">
        <w:rPr>
          <w:szCs w:val="22"/>
          <w:lang w:val="is-IS"/>
        </w:rPr>
        <w:t>egninger. Rapport nr. 10, 1986.</w:t>
      </w:r>
      <w:r w:rsidRPr="00855F56">
        <w:rPr>
          <w:szCs w:val="22"/>
          <w:lang w:val="is-IS"/>
        </w:rPr>
        <w:t xml:space="preserve"> Reykjavík.</w:t>
      </w:r>
    </w:p>
    <w:p w14:paraId="33D081A9" w14:textId="77777777" w:rsidR="0074241B" w:rsidRDefault="001F0FB6" w:rsidP="00855F56">
      <w:pPr>
        <w:ind w:left="513" w:hanging="513"/>
        <w:jc w:val="both"/>
        <w:rPr>
          <w:sz w:val="24"/>
          <w:szCs w:val="24"/>
          <w:lang w:val="is-IS"/>
        </w:rPr>
      </w:pPr>
      <w:r>
        <w:rPr>
          <w:szCs w:val="22"/>
          <w:lang w:val="is-IS"/>
        </w:rPr>
        <w:t xml:space="preserve">Steinefnanefnd. </w:t>
      </w:r>
      <w:r w:rsidR="0074241B" w:rsidRPr="00855F56">
        <w:rPr>
          <w:szCs w:val="22"/>
          <w:lang w:val="is-IS"/>
        </w:rPr>
        <w:t xml:space="preserve">1994. </w:t>
      </w:r>
      <w:r w:rsidR="0074241B" w:rsidRPr="00855F56">
        <w:rPr>
          <w:i/>
          <w:szCs w:val="22"/>
          <w:lang w:val="is-IS"/>
        </w:rPr>
        <w:t xml:space="preserve">Steinefni í bundin slitlög. </w:t>
      </w:r>
      <w:r>
        <w:rPr>
          <w:szCs w:val="22"/>
          <w:lang w:val="is-IS"/>
        </w:rPr>
        <w:t xml:space="preserve">Viðloðunarpróf. </w:t>
      </w:r>
      <w:r w:rsidR="0074241B" w:rsidRPr="00855F56">
        <w:rPr>
          <w:szCs w:val="22"/>
          <w:lang w:val="is-IS"/>
        </w:rPr>
        <w:t>Reykjavík.</w:t>
      </w:r>
    </w:p>
    <w:p w14:paraId="33D081AB" w14:textId="7687123E" w:rsidR="0074241B" w:rsidRPr="00D14E7C" w:rsidRDefault="0074241B" w:rsidP="004D7B8A">
      <w:pPr>
        <w:pStyle w:val="Heading1"/>
        <w:rPr>
          <w:lang w:val="is-IS"/>
        </w:rPr>
      </w:pPr>
      <w:bookmarkStart w:id="31" w:name="_Toc52974036"/>
      <w:r w:rsidRPr="001C45E6">
        <w:rPr>
          <w:lang w:val="is-IS"/>
        </w:rPr>
        <w:t>VATNSNÆMI MALBIKS</w:t>
      </w:r>
      <w:bookmarkEnd w:id="31"/>
    </w:p>
    <w:p w14:paraId="33D081AC" w14:textId="5A4F803F" w:rsidR="0074241B" w:rsidRDefault="0074241B" w:rsidP="0074241B">
      <w:pPr>
        <w:jc w:val="both"/>
        <w:rPr>
          <w:lang w:val="is-IS"/>
        </w:rPr>
      </w:pPr>
      <w:r>
        <w:rPr>
          <w:lang w:val="is-IS"/>
        </w:rPr>
        <w:t>Vatnsnæmi er einn þeirra mælikvarða sem notaður er til að meta viðloðun milli bindiefnis og steinefnis í malbiki. Prófun á vatnsnæmi byggist í stórum dráttum á því að bera styrkleika (þrýstiþol, kleyfniþol, þreytuþol) malbikssýna, sem hafa legið í vatni tiltekinn tíma, með eða án frost-þíðu áraunar, saman við styrkleika samskonar malbikssýna sem hafa verið geymd jafnlengi þurr. Fjölmargar</w:t>
      </w:r>
      <w:r w:rsidRPr="00783E02">
        <w:rPr>
          <w:lang w:val="is-IS"/>
        </w:rPr>
        <w:t xml:space="preserve"> aðferðir hafa verið reyndar til að mæla vatnsnæmi</w:t>
      </w:r>
      <w:r>
        <w:rPr>
          <w:lang w:val="is-IS"/>
        </w:rPr>
        <w:t xml:space="preserve"> en þær eru allar annmörkum háðar og yfirleitt hefur ekki tekist að sýna fram á sterkt samband milli prófunarniðurstöðu og endingar </w:t>
      </w:r>
      <w:r w:rsidR="00855F56">
        <w:rPr>
          <w:lang w:val="is-IS"/>
        </w:rPr>
        <w:t>[</w:t>
      </w:r>
      <w:r>
        <w:rPr>
          <w:lang w:val="is-IS"/>
        </w:rPr>
        <w:t>Nordisk Industrifond 2004, bls. 60-69</w:t>
      </w:r>
      <w:r w:rsidR="00855F56">
        <w:rPr>
          <w:lang w:val="is-IS"/>
        </w:rPr>
        <w:t>]</w:t>
      </w:r>
      <w:r>
        <w:rPr>
          <w:lang w:val="is-IS"/>
        </w:rPr>
        <w:t xml:space="preserve">. Sú aðferð sem hefur reynst einna best er kleyfnipróf og hún hefur verið notuð hérlendis, </w:t>
      </w:r>
      <w:r w:rsidR="007343AD">
        <w:rPr>
          <w:lang w:val="is-IS"/>
        </w:rPr>
        <w:t>meðal annars við gerðarprófanir malbiks þar sem umferð er mikil</w:t>
      </w:r>
      <w:r>
        <w:rPr>
          <w:lang w:val="is-IS"/>
        </w:rPr>
        <w:t xml:space="preserve">. Kostur við þessa aðferð er að hana má nota jafnt á Marshallkjarna sem borkjarna úr slitlagi. </w:t>
      </w:r>
    </w:p>
    <w:p w14:paraId="33D081AD" w14:textId="36F7D78A" w:rsidR="0074241B" w:rsidRDefault="0074241B" w:rsidP="0074241B">
      <w:pPr>
        <w:ind w:firstLine="342"/>
        <w:jc w:val="both"/>
        <w:rPr>
          <w:b/>
          <w:lang w:val="is-IS"/>
        </w:rPr>
      </w:pPr>
      <w:r>
        <w:rPr>
          <w:lang w:val="is-IS"/>
        </w:rPr>
        <w:t>Vatnsnæmi er að líkindum tengt endingu malbiks og sennilega er þörf á að mæla það á einn eða annan hátt. Rökin með eru þau að slitlög hérlendis eru oft blaut langtímum saman á veturna og frost-þíðusveiflur margar. Auk þess er efni í malbik stundum tekið úr sjó, og tilraunir hafa sýnt að malbikskjarnar úr saltblönduðu steinefni, sem hafa legið lengi í vatni, bila miklu fyrr undir sveiflandi álagi en malbikskjarnar úr samskonar steinefni en saltlausu. Ennfremur er t</w:t>
      </w:r>
      <w:r w:rsidR="001F0FB6">
        <w:rPr>
          <w:lang w:val="is-IS"/>
        </w:rPr>
        <w:t xml:space="preserve">alið að kísilsýrurík steinefni </w:t>
      </w:r>
      <w:r>
        <w:rPr>
          <w:lang w:val="is-IS"/>
        </w:rPr>
        <w:t xml:space="preserve">(sem er dæmigert fyrir innflutt steinefni) hafi að jafnaði lakari viðloðun en basísk steinefni (svo sem íslenskt basalt). Vegna notkunar negldra hjólbarða rofnar bindiefnishúðin á steinum í yfirborði slitlagsins strax á fyrsta vetri og þar getur vatn komist á milli bindiefnis og steins og rofið bindinginn þar á milli. Mótrökin eru hins vegar þau að holrýmd er af ásettu ráði haldið mjög lágri í íslensku malbiki, svo það má með nokkrum sanni kallast vatnsþétt, og ætti þess vegna ekki að verða fyrir skemmdum af vatni, nema þá á yfirborðinu. Einnig hefur tíðkast á síðari árum að setja </w:t>
      </w:r>
      <w:r w:rsidR="00A238BE">
        <w:rPr>
          <w:lang w:val="is-IS"/>
        </w:rPr>
        <w:t xml:space="preserve">ætíð </w:t>
      </w:r>
      <w:r>
        <w:rPr>
          <w:lang w:val="is-IS"/>
        </w:rPr>
        <w:t xml:space="preserve">viðloðunarefni í bindiefnið, sem styrkir tengslin milli bindiefnis og steinefnis. Að sögn heldur viðloðunarefnið virkni sinni árum saman </w:t>
      </w:r>
      <w:r w:rsidR="003E6693">
        <w:rPr>
          <w:lang w:val="is-IS"/>
        </w:rPr>
        <w:t>[</w:t>
      </w:r>
      <w:r>
        <w:rPr>
          <w:lang w:val="is-IS"/>
        </w:rPr>
        <w:t>Jacobson 2000, bls. 22</w:t>
      </w:r>
      <w:r w:rsidR="003E6693">
        <w:rPr>
          <w:lang w:val="is-IS"/>
        </w:rPr>
        <w:t>]</w:t>
      </w:r>
      <w:r>
        <w:rPr>
          <w:lang w:val="is-IS"/>
        </w:rPr>
        <w:t>.</w:t>
      </w:r>
      <w:r w:rsidRPr="00865698">
        <w:rPr>
          <w:b/>
          <w:lang w:val="is-IS"/>
        </w:rPr>
        <w:t xml:space="preserve"> </w:t>
      </w:r>
    </w:p>
    <w:p w14:paraId="33D081AE" w14:textId="02AD13E9" w:rsidR="0074241B" w:rsidRDefault="0074241B" w:rsidP="0074241B">
      <w:pPr>
        <w:ind w:firstLine="342"/>
        <w:jc w:val="both"/>
        <w:rPr>
          <w:lang w:val="is-IS"/>
        </w:rPr>
      </w:pPr>
      <w:r>
        <w:rPr>
          <w:lang w:val="is-IS"/>
        </w:rPr>
        <w:t xml:space="preserve">Sænskar verklýsingar </w:t>
      </w:r>
      <w:r w:rsidR="00855F56">
        <w:rPr>
          <w:lang w:val="is-IS"/>
        </w:rPr>
        <w:t>[</w:t>
      </w:r>
      <w:r w:rsidRPr="006E1857">
        <w:rPr>
          <w:szCs w:val="22"/>
          <w:lang w:val="is-IS"/>
        </w:rPr>
        <w:t>Vägverket 2005</w:t>
      </w:r>
      <w:r>
        <w:rPr>
          <w:szCs w:val="22"/>
          <w:lang w:val="is-IS"/>
        </w:rPr>
        <w:t>, bls. 22-23</w:t>
      </w:r>
      <w:r w:rsidR="00855F56">
        <w:rPr>
          <w:lang w:val="is-IS"/>
        </w:rPr>
        <w:t>]</w:t>
      </w:r>
      <w:r>
        <w:rPr>
          <w:lang w:val="is-IS"/>
        </w:rPr>
        <w:t xml:space="preserve"> gera kröfu um að vatnsnæmi sé prófað minnst einu sinni á ári á steinefni úr hverri námu</w:t>
      </w:r>
      <w:r w:rsidR="00183D3E">
        <w:rPr>
          <w:lang w:val="is-IS"/>
        </w:rPr>
        <w:t xml:space="preserve"> í notkun</w:t>
      </w:r>
      <w:r>
        <w:rPr>
          <w:lang w:val="is-IS"/>
        </w:rPr>
        <w:t>. Sýnið má vera borkjarnar eða Marshallkjarnar úr viðkomandi malbiki. Auk þess eru gerðar kröfur um vatnsnæmipróf á útlögðu malbiki, ef magnið er meira en 2000 tonn. Fyrir hver byrjuð 8000 tonn í útlögn skal prófa eitt borkjarnasýni. Prófunaraðferðin er kleyfnipróf á viðloðun (sjá ÍST EN 12697-12). Kröfurnar eru mismunandi eftir malbiksgerðum, fyrir slitlag þarf hlutfallið að vera &gt;</w:t>
      </w:r>
      <w:r w:rsidR="00A238BE">
        <w:rPr>
          <w:lang w:val="is-IS"/>
        </w:rPr>
        <w:t xml:space="preserve"> </w:t>
      </w:r>
      <w:r>
        <w:rPr>
          <w:lang w:val="is-IS"/>
        </w:rPr>
        <w:t>70%, fyrir bindilag &gt;</w:t>
      </w:r>
      <w:r w:rsidR="00A238BE">
        <w:rPr>
          <w:lang w:val="is-IS"/>
        </w:rPr>
        <w:t xml:space="preserve"> </w:t>
      </w:r>
      <w:r>
        <w:rPr>
          <w:lang w:val="is-IS"/>
        </w:rPr>
        <w:t>75%, en fyrir afréttingarlag og burðarlag &gt;</w:t>
      </w:r>
      <w:r w:rsidR="00A238BE">
        <w:rPr>
          <w:lang w:val="is-IS"/>
        </w:rPr>
        <w:t xml:space="preserve"> </w:t>
      </w:r>
      <w:r>
        <w:rPr>
          <w:lang w:val="is-IS"/>
        </w:rPr>
        <w:t xml:space="preserve">60%. </w:t>
      </w:r>
    </w:p>
    <w:p w14:paraId="33D081AF" w14:textId="77777777" w:rsidR="0074241B" w:rsidRDefault="0074241B" w:rsidP="00855F56">
      <w:pPr>
        <w:ind w:firstLine="342"/>
        <w:jc w:val="both"/>
        <w:rPr>
          <w:lang w:val="is-IS"/>
        </w:rPr>
      </w:pPr>
      <w:r>
        <w:rPr>
          <w:lang w:val="is-IS"/>
        </w:rPr>
        <w:t xml:space="preserve">Norskar verklýsingar </w:t>
      </w:r>
      <w:r w:rsidR="00855F56">
        <w:rPr>
          <w:lang w:val="is-IS"/>
        </w:rPr>
        <w:t>[</w:t>
      </w:r>
      <w:r w:rsidR="001F0FB6">
        <w:rPr>
          <w:lang w:val="is-IS"/>
        </w:rPr>
        <w:t xml:space="preserve">Statens vegvesen </w:t>
      </w:r>
      <w:r>
        <w:rPr>
          <w:lang w:val="is-IS"/>
        </w:rPr>
        <w:t>2005</w:t>
      </w:r>
      <w:r w:rsidR="00855F56">
        <w:rPr>
          <w:lang w:val="is-IS"/>
        </w:rPr>
        <w:t>]</w:t>
      </w:r>
      <w:r>
        <w:rPr>
          <w:lang w:val="is-IS"/>
        </w:rPr>
        <w:t xml:space="preserve"> hafa engar kröfur til vatnsnæmi.</w:t>
      </w:r>
    </w:p>
    <w:p w14:paraId="33D081B0" w14:textId="250A7F04" w:rsidR="0074241B" w:rsidRDefault="0074241B" w:rsidP="0074241B">
      <w:pPr>
        <w:ind w:firstLine="342"/>
        <w:jc w:val="both"/>
        <w:rPr>
          <w:lang w:val="is-IS"/>
        </w:rPr>
      </w:pPr>
      <w:r>
        <w:rPr>
          <w:lang w:val="is-IS"/>
        </w:rPr>
        <w:lastRenderedPageBreak/>
        <w:t>Samkvæmt finnskum verklýsingunum</w:t>
      </w:r>
      <w:r w:rsidDel="00ED14F4">
        <w:rPr>
          <w:lang w:val="is-IS"/>
        </w:rPr>
        <w:t xml:space="preserve"> </w:t>
      </w:r>
      <w:r w:rsidR="00855F56">
        <w:rPr>
          <w:lang w:val="is-IS"/>
        </w:rPr>
        <w:t>[</w:t>
      </w:r>
      <w:r>
        <w:rPr>
          <w:lang w:val="is-IS"/>
        </w:rPr>
        <w:t>PANK 2000 bls. 61</w:t>
      </w:r>
      <w:r w:rsidR="00855F56">
        <w:rPr>
          <w:lang w:val="is-IS"/>
        </w:rPr>
        <w:t>]</w:t>
      </w:r>
      <w:r>
        <w:rPr>
          <w:lang w:val="is-IS"/>
        </w:rPr>
        <w:t xml:space="preserve"> er ekki skylt að mæla vatnsnæmi malbiks nema þess sé talin þörf. Vatnsnæmi er mælt með kleyfniprófi á viðloðun samkvæmt nánari fyrirmælum. Krafan fyrir hefðbundið s</w:t>
      </w:r>
      <w:r w:rsidR="00A238BE">
        <w:rPr>
          <w:lang w:val="is-IS"/>
        </w:rPr>
        <w:t>tíf</w:t>
      </w:r>
      <w:r>
        <w:rPr>
          <w:lang w:val="is-IS"/>
        </w:rPr>
        <w:t xml:space="preserve">malbik </w:t>
      </w:r>
      <w:r w:rsidR="004176AD">
        <w:rPr>
          <w:lang w:val="is-IS"/>
        </w:rPr>
        <w:t>(</w:t>
      </w:r>
      <w:r w:rsidR="00A238BE" w:rsidRPr="00A238BE">
        <w:rPr>
          <w:szCs w:val="22"/>
          <w:lang w:val="is-IS"/>
        </w:rPr>
        <w:t>AC</w:t>
      </w:r>
      <w:r w:rsidR="004176AD">
        <w:rPr>
          <w:szCs w:val="22"/>
          <w:lang w:val="is-IS"/>
        </w:rPr>
        <w:t>)</w:t>
      </w:r>
      <w:r w:rsidR="004176AD">
        <w:rPr>
          <w:lang w:val="is-IS"/>
        </w:rPr>
        <w:t xml:space="preserve"> </w:t>
      </w:r>
      <w:r>
        <w:rPr>
          <w:lang w:val="is-IS"/>
        </w:rPr>
        <w:t xml:space="preserve">er að hlutfallið sé ≥ 80% en ≥ 60% fyrir drenmalbik.  </w:t>
      </w:r>
    </w:p>
    <w:p w14:paraId="33D081B1" w14:textId="0800F69B" w:rsidR="0074241B" w:rsidRDefault="0074241B" w:rsidP="0074241B">
      <w:pPr>
        <w:ind w:firstLine="342"/>
        <w:jc w:val="both"/>
        <w:rPr>
          <w:lang w:val="is-IS"/>
        </w:rPr>
      </w:pPr>
    </w:p>
    <w:p w14:paraId="33D081B2" w14:textId="47150AD9" w:rsidR="0074241B" w:rsidRDefault="00A238BE" w:rsidP="0074241B">
      <w:pPr>
        <w:ind w:firstLine="342"/>
        <w:jc w:val="both"/>
        <w:rPr>
          <w:lang w:val="is-IS"/>
        </w:rPr>
      </w:pPr>
      <w:r>
        <w:rPr>
          <w:lang w:val="is-IS"/>
        </w:rPr>
        <w:t>Í Efnisgæðaritinu er</w:t>
      </w:r>
      <w:r w:rsidR="0074241B">
        <w:rPr>
          <w:lang w:val="is-IS"/>
        </w:rPr>
        <w:t xml:space="preserve"> krafa um vatnsnæmi</w:t>
      </w:r>
      <w:r w:rsidR="00B158EE">
        <w:rPr>
          <w:lang w:val="is-IS"/>
        </w:rPr>
        <w:t>próf vegna gerðarprófana á malbiksgerðum,</w:t>
      </w:r>
      <w:r w:rsidR="0074241B">
        <w:rPr>
          <w:lang w:val="is-IS"/>
        </w:rPr>
        <w:t xml:space="preserve"> kleyfnipróf á viðloðun </w:t>
      </w:r>
      <w:r w:rsidR="00855F56">
        <w:rPr>
          <w:lang w:val="is-IS"/>
        </w:rPr>
        <w:t>[</w:t>
      </w:r>
      <w:r w:rsidR="0074241B">
        <w:rPr>
          <w:lang w:val="is-IS"/>
        </w:rPr>
        <w:t>ÍST EN 12697-12</w:t>
      </w:r>
      <w:r w:rsidR="00855F56">
        <w:rPr>
          <w:lang w:val="is-IS"/>
        </w:rPr>
        <w:t>]</w:t>
      </w:r>
      <w:r w:rsidR="0074241B">
        <w:rPr>
          <w:lang w:val="is-IS"/>
        </w:rPr>
        <w:t xml:space="preserve">, en nákvæmninni er samkvæmt áðurnefndum staðli er </w:t>
      </w:r>
      <w:r w:rsidR="00B158EE">
        <w:rPr>
          <w:lang w:val="is-IS"/>
        </w:rPr>
        <w:t xml:space="preserve">að </w:t>
      </w:r>
      <w:r w:rsidR="0074241B">
        <w:rPr>
          <w:lang w:val="is-IS"/>
        </w:rPr>
        <w:t>ekki</w:t>
      </w:r>
      <w:r w:rsidR="00B158EE">
        <w:rPr>
          <w:lang w:val="is-IS"/>
        </w:rPr>
        <w:t xml:space="preserve"> er</w:t>
      </w:r>
      <w:r w:rsidR="0074241B">
        <w:rPr>
          <w:lang w:val="is-IS"/>
        </w:rPr>
        <w:t xml:space="preserve"> ástæða til að rengja niðurstöður nema mismunur tveggja mælinga sé meiri en 15%. </w:t>
      </w:r>
    </w:p>
    <w:p w14:paraId="33D081B3" w14:textId="77777777" w:rsidR="00E57041" w:rsidRDefault="00E57041" w:rsidP="0074241B">
      <w:pPr>
        <w:spacing w:after="60"/>
        <w:jc w:val="both"/>
        <w:rPr>
          <w:lang w:val="is-IS"/>
        </w:rPr>
      </w:pPr>
    </w:p>
    <w:p w14:paraId="33D081B4" w14:textId="77777777" w:rsidR="00B158EE" w:rsidRPr="00463C58" w:rsidRDefault="00B158EE" w:rsidP="00B158EE">
      <w:pPr>
        <w:ind w:firstLine="340"/>
        <w:jc w:val="both"/>
        <w:rPr>
          <w:b/>
          <w:color w:val="FF0000"/>
          <w:lang w:val="is-IS"/>
        </w:rPr>
      </w:pPr>
      <w:r w:rsidRPr="00463C58">
        <w:rPr>
          <w:b/>
          <w:color w:val="FF0000"/>
          <w:lang w:val="is-IS"/>
        </w:rPr>
        <w:t>ATHUGASEMD RITSTJÓRNAR Í JANÚAR 2020</w:t>
      </w:r>
    </w:p>
    <w:p w14:paraId="33D081B5" w14:textId="77777777" w:rsidR="00E57041" w:rsidRPr="00463C58" w:rsidRDefault="00B158EE" w:rsidP="00B158EE">
      <w:pPr>
        <w:spacing w:after="60"/>
        <w:jc w:val="both"/>
        <w:rPr>
          <w:color w:val="FF0000"/>
          <w:lang w:val="is-IS"/>
        </w:rPr>
      </w:pPr>
      <w:r w:rsidRPr="00463C58">
        <w:rPr>
          <w:color w:val="FF0000"/>
        </w:rPr>
        <w:t xml:space="preserve">Þessi kafli fær að halda sér að mestu leyti, nema umfjöllun um Alverk ´95 er tekin </w:t>
      </w:r>
      <w:r w:rsidR="00B15AC3" w:rsidRPr="00463C58">
        <w:rPr>
          <w:color w:val="FF0000"/>
        </w:rPr>
        <w:t>út og bent á að gerð er krafa um vatnsnæmi malbiks í Efnisgæðaritinu</w:t>
      </w:r>
      <w:r w:rsidRPr="00463C58">
        <w:rPr>
          <w:color w:val="FF0000"/>
        </w:rPr>
        <w:t>.</w:t>
      </w:r>
    </w:p>
    <w:p w14:paraId="33D081B9" w14:textId="77777777" w:rsidR="00E57041" w:rsidRDefault="00E57041" w:rsidP="0074241B">
      <w:pPr>
        <w:spacing w:after="60"/>
        <w:jc w:val="both"/>
        <w:rPr>
          <w:lang w:val="is-IS"/>
        </w:rPr>
      </w:pPr>
    </w:p>
    <w:p w14:paraId="33D081BA" w14:textId="77777777" w:rsidR="0074241B" w:rsidRPr="00E57041" w:rsidRDefault="0074241B" w:rsidP="00E57041">
      <w:pPr>
        <w:spacing w:after="60"/>
        <w:rPr>
          <w:b/>
          <w:sz w:val="24"/>
          <w:szCs w:val="24"/>
          <w:lang w:val="is-IS"/>
        </w:rPr>
      </w:pPr>
      <w:r w:rsidRPr="00E57041">
        <w:rPr>
          <w:b/>
          <w:sz w:val="24"/>
          <w:szCs w:val="24"/>
          <w:lang w:val="is-IS"/>
        </w:rPr>
        <w:t>HEIMILDIR</w:t>
      </w:r>
    </w:p>
    <w:p w14:paraId="33D081BB" w14:textId="77777777" w:rsidR="0074241B" w:rsidRPr="00DD0FF0" w:rsidRDefault="0074241B" w:rsidP="0074241B">
      <w:pPr>
        <w:jc w:val="both"/>
        <w:rPr>
          <w:szCs w:val="22"/>
          <w:lang w:val="nb-NO"/>
        </w:rPr>
      </w:pPr>
      <w:r w:rsidRPr="0074241B">
        <w:rPr>
          <w:szCs w:val="22"/>
          <w:lang w:val="nb-NO"/>
        </w:rPr>
        <w:t xml:space="preserve">Alverk ´95. 1995. </w:t>
      </w:r>
      <w:r w:rsidRPr="0074241B">
        <w:rPr>
          <w:i/>
          <w:szCs w:val="22"/>
          <w:lang w:val="nb-NO"/>
        </w:rPr>
        <w:t>Almenn verklýsing fyrir vega og brúargerð.</w:t>
      </w:r>
      <w:r w:rsidRPr="0074241B">
        <w:rPr>
          <w:szCs w:val="22"/>
          <w:lang w:val="nb-NO"/>
        </w:rPr>
        <w:t xml:space="preserve"> </w:t>
      </w:r>
      <w:r w:rsidRPr="00DD0FF0">
        <w:rPr>
          <w:szCs w:val="22"/>
          <w:lang w:val="nb-NO"/>
        </w:rPr>
        <w:t>Vegagerðin, Reykjavík.</w:t>
      </w:r>
    </w:p>
    <w:p w14:paraId="33D081BC" w14:textId="77777777" w:rsidR="0074241B" w:rsidRDefault="0074241B" w:rsidP="0074241B">
      <w:pPr>
        <w:ind w:left="342" w:hanging="342"/>
        <w:jc w:val="both"/>
        <w:rPr>
          <w:lang w:val="is-IS"/>
        </w:rPr>
      </w:pPr>
      <w:r>
        <w:rPr>
          <w:lang w:val="is-IS"/>
        </w:rPr>
        <w:t xml:space="preserve">Aurstad, J. (verkefnisstjóri). 2004. </w:t>
      </w:r>
      <w:r w:rsidRPr="00E1788E">
        <w:rPr>
          <w:i/>
          <w:lang w:val="is-IS"/>
        </w:rPr>
        <w:t>Beständighet hos asfaltbeläggningar. State-of-the-art.</w:t>
      </w:r>
      <w:r>
        <w:rPr>
          <w:lang w:val="is-IS"/>
        </w:rPr>
        <w:t xml:space="preserve"> Faglig sluttrapport – forprosjekt. Nordisk Industrifond.</w:t>
      </w:r>
    </w:p>
    <w:p w14:paraId="33D081BD" w14:textId="121FFEBC" w:rsidR="0074241B" w:rsidRDefault="0074241B" w:rsidP="0074241B">
      <w:pPr>
        <w:ind w:left="340" w:hanging="340"/>
        <w:jc w:val="both"/>
        <w:rPr>
          <w:szCs w:val="22"/>
          <w:lang w:val="is-IS"/>
        </w:rPr>
      </w:pPr>
      <w:r>
        <w:rPr>
          <w:szCs w:val="22"/>
          <w:lang w:val="is-IS"/>
        </w:rPr>
        <w:t xml:space="preserve">ÍST EN 12697-12. </w:t>
      </w:r>
      <w:r w:rsidRPr="0063568A">
        <w:rPr>
          <w:i/>
          <w:szCs w:val="22"/>
          <w:lang w:val="is-IS"/>
        </w:rPr>
        <w:t>Bituminous mixtures – Test methods for hot mix asphalt – Part 1</w:t>
      </w:r>
      <w:r>
        <w:rPr>
          <w:i/>
          <w:szCs w:val="22"/>
          <w:lang w:val="is-IS"/>
        </w:rPr>
        <w:t>2</w:t>
      </w:r>
      <w:r w:rsidRPr="0063568A">
        <w:rPr>
          <w:i/>
          <w:szCs w:val="22"/>
          <w:lang w:val="is-IS"/>
        </w:rPr>
        <w:t xml:space="preserve">: Determination of the </w:t>
      </w:r>
      <w:r>
        <w:rPr>
          <w:i/>
          <w:szCs w:val="22"/>
          <w:lang w:val="is-IS"/>
        </w:rPr>
        <w:t>water sensitivity of</w:t>
      </w:r>
      <w:r w:rsidRPr="0063568A">
        <w:rPr>
          <w:i/>
          <w:szCs w:val="22"/>
          <w:lang w:val="is-IS"/>
        </w:rPr>
        <w:t xml:space="preserve"> bitum</w:t>
      </w:r>
      <w:r>
        <w:rPr>
          <w:i/>
          <w:szCs w:val="22"/>
          <w:lang w:val="is-IS"/>
        </w:rPr>
        <w:t>inous specimens</w:t>
      </w:r>
      <w:r w:rsidRPr="0063568A">
        <w:rPr>
          <w:i/>
          <w:szCs w:val="22"/>
          <w:lang w:val="is-IS"/>
        </w:rPr>
        <w:t>.</w:t>
      </w:r>
      <w:r>
        <w:rPr>
          <w:szCs w:val="22"/>
          <w:lang w:val="is-IS"/>
        </w:rPr>
        <w:t xml:space="preserve"> Staðlaráð Íslands, Reykjavík</w:t>
      </w:r>
      <w:r w:rsidRPr="004052CF">
        <w:rPr>
          <w:szCs w:val="22"/>
          <w:lang w:val="is-IS"/>
        </w:rPr>
        <w:t>.</w:t>
      </w:r>
    </w:p>
    <w:p w14:paraId="33D081BE" w14:textId="77777777" w:rsidR="0074241B" w:rsidRDefault="0074241B" w:rsidP="0074241B">
      <w:pPr>
        <w:ind w:left="342" w:hanging="342"/>
        <w:jc w:val="both"/>
        <w:rPr>
          <w:lang w:val="is-IS"/>
        </w:rPr>
      </w:pPr>
      <w:r>
        <w:rPr>
          <w:lang w:val="is-IS"/>
        </w:rPr>
        <w:t xml:space="preserve">Jacobson, T. 2000. </w:t>
      </w:r>
      <w:r w:rsidRPr="00F8774E">
        <w:rPr>
          <w:i/>
          <w:lang w:val="is-IS"/>
        </w:rPr>
        <w:t xml:space="preserve">Utredning av beläggningsskader på Island (Reykjavik). </w:t>
      </w:r>
      <w:r>
        <w:rPr>
          <w:lang w:val="is-IS"/>
        </w:rPr>
        <w:t xml:space="preserve">VTI notat 60-2000. Väg- och transportforskningsinstitutet. Linköping. </w:t>
      </w:r>
    </w:p>
    <w:p w14:paraId="33D081BF" w14:textId="77777777" w:rsidR="0074241B" w:rsidRDefault="0074241B" w:rsidP="0074241B">
      <w:pPr>
        <w:ind w:left="342" w:hanging="342"/>
        <w:jc w:val="both"/>
        <w:rPr>
          <w:lang w:val="is-IS"/>
        </w:rPr>
      </w:pPr>
      <w:r w:rsidRPr="006E1857">
        <w:rPr>
          <w:lang w:val="is-IS"/>
        </w:rPr>
        <w:t xml:space="preserve">PANK. </w:t>
      </w:r>
      <w:r>
        <w:rPr>
          <w:lang w:val="is-IS"/>
        </w:rPr>
        <w:t>2000</w:t>
      </w:r>
      <w:r w:rsidRPr="006E1857">
        <w:rPr>
          <w:lang w:val="is-IS"/>
        </w:rPr>
        <w:t xml:space="preserve">. </w:t>
      </w:r>
      <w:r w:rsidRPr="006E1857">
        <w:rPr>
          <w:i/>
          <w:lang w:val="is-IS"/>
        </w:rPr>
        <w:t xml:space="preserve">Finnish Asphalt Specifications </w:t>
      </w:r>
      <w:r>
        <w:rPr>
          <w:i/>
          <w:lang w:val="is-IS"/>
        </w:rPr>
        <w:t>2000</w:t>
      </w:r>
      <w:r w:rsidRPr="006E1857">
        <w:rPr>
          <w:i/>
          <w:lang w:val="is-IS"/>
        </w:rPr>
        <w:t>.</w:t>
      </w:r>
      <w:r w:rsidRPr="006E1857">
        <w:rPr>
          <w:lang w:val="is-IS"/>
        </w:rPr>
        <w:t xml:space="preserve"> Finnish Pavement Technology Advisory Council. Helsinki.</w:t>
      </w:r>
    </w:p>
    <w:p w14:paraId="33D081C0" w14:textId="77777777" w:rsidR="0074241B" w:rsidRPr="006E1857" w:rsidRDefault="0074241B" w:rsidP="0074241B">
      <w:pPr>
        <w:ind w:left="342" w:hanging="342"/>
        <w:jc w:val="both"/>
        <w:rPr>
          <w:lang w:val="is-IS"/>
        </w:rPr>
      </w:pPr>
      <w:r w:rsidRPr="006E1857">
        <w:rPr>
          <w:lang w:val="is-IS"/>
        </w:rPr>
        <w:t xml:space="preserve">Statens vegvesen. 2005. </w:t>
      </w:r>
      <w:r w:rsidRPr="006E1857">
        <w:rPr>
          <w:i/>
          <w:lang w:val="is-IS"/>
        </w:rPr>
        <w:t>Håndbok 018.</w:t>
      </w:r>
      <w:r w:rsidRPr="006E1857">
        <w:rPr>
          <w:lang w:val="is-IS"/>
        </w:rPr>
        <w:t xml:space="preserve"> </w:t>
      </w:r>
      <w:r w:rsidRPr="006E1857">
        <w:rPr>
          <w:i/>
          <w:lang w:val="is-IS"/>
        </w:rPr>
        <w:t xml:space="preserve">Vegbygging. </w:t>
      </w:r>
      <w:r w:rsidRPr="006E1857">
        <w:rPr>
          <w:lang w:val="is-IS"/>
        </w:rPr>
        <w:t>Statens vegvesen. Oslo.</w:t>
      </w:r>
    </w:p>
    <w:p w14:paraId="33D081C1" w14:textId="77777777" w:rsidR="0074241B" w:rsidRDefault="0074241B" w:rsidP="0074241B">
      <w:pPr>
        <w:ind w:left="340" w:hanging="340"/>
        <w:jc w:val="both"/>
        <w:rPr>
          <w:szCs w:val="22"/>
          <w:lang w:val="is-IS"/>
        </w:rPr>
      </w:pPr>
      <w:r w:rsidRPr="006E1857">
        <w:rPr>
          <w:szCs w:val="22"/>
          <w:lang w:val="is-IS"/>
        </w:rPr>
        <w:t xml:space="preserve">Vägverket. 2005. </w:t>
      </w:r>
      <w:r w:rsidRPr="006E1857">
        <w:rPr>
          <w:i/>
          <w:szCs w:val="22"/>
          <w:lang w:val="is-IS"/>
        </w:rPr>
        <w:t xml:space="preserve">ATB VÄG 2005. Kapitel </w:t>
      </w:r>
      <w:r>
        <w:rPr>
          <w:i/>
          <w:szCs w:val="22"/>
          <w:lang w:val="is-IS"/>
        </w:rPr>
        <w:t>F</w:t>
      </w:r>
      <w:r w:rsidRPr="006E1857">
        <w:rPr>
          <w:i/>
          <w:szCs w:val="22"/>
          <w:lang w:val="is-IS"/>
        </w:rPr>
        <w:t xml:space="preserve"> </w:t>
      </w:r>
      <w:r>
        <w:rPr>
          <w:i/>
          <w:szCs w:val="22"/>
          <w:lang w:val="is-IS"/>
        </w:rPr>
        <w:t>Bitumenbundna lager.</w:t>
      </w:r>
      <w:r w:rsidRPr="006E1857">
        <w:rPr>
          <w:szCs w:val="22"/>
          <w:lang w:val="is-IS"/>
        </w:rPr>
        <w:t xml:space="preserve"> VV Publ 2005:112. Borlänge.</w:t>
      </w:r>
    </w:p>
    <w:p w14:paraId="33D081E6" w14:textId="77777777" w:rsidR="0074241B" w:rsidRPr="001C45E6" w:rsidRDefault="0074241B" w:rsidP="00D15FAD">
      <w:pPr>
        <w:pStyle w:val="Heading1"/>
        <w:rPr>
          <w:lang w:val="is-IS"/>
        </w:rPr>
      </w:pPr>
      <w:bookmarkStart w:id="32" w:name="_Toc52974037"/>
      <w:r w:rsidRPr="001C45E6">
        <w:rPr>
          <w:lang w:val="is-IS"/>
        </w:rPr>
        <w:t>UM ÁHRIF SALTS Á ÞREYTUÞOL MALBIKS</w:t>
      </w:r>
      <w:bookmarkEnd w:id="32"/>
    </w:p>
    <w:p w14:paraId="33D081E7" w14:textId="77777777" w:rsidR="0074241B" w:rsidRPr="0054726C" w:rsidRDefault="0074241B" w:rsidP="004D7B8A">
      <w:pPr>
        <w:rPr>
          <w:sz w:val="24"/>
          <w:szCs w:val="24"/>
          <w:lang w:val="is-IS"/>
        </w:rPr>
      </w:pPr>
    </w:p>
    <w:p w14:paraId="33D081E8" w14:textId="743D3B9B" w:rsidR="0074241B" w:rsidRDefault="0074241B" w:rsidP="0074241B">
      <w:pPr>
        <w:jc w:val="both"/>
        <w:rPr>
          <w:lang w:val="is-IS"/>
        </w:rPr>
      </w:pPr>
      <w:r>
        <w:rPr>
          <w:lang w:val="is-IS"/>
        </w:rPr>
        <w:t xml:space="preserve">Árið 2006 hófust rannsóknir á áhrifum salts á þreytuþol malbiks á Rannsóknastofnun byggingariðnaðarins. Þær </w:t>
      </w:r>
      <w:r w:rsidR="00B158EE">
        <w:rPr>
          <w:lang w:val="is-IS"/>
        </w:rPr>
        <w:t xml:space="preserve">voru </w:t>
      </w:r>
      <w:r>
        <w:rPr>
          <w:lang w:val="is-IS"/>
        </w:rPr>
        <w:t xml:space="preserve">fjármagnaðar af Rannsókna- og þróunarsjóði Vegagerðarinnar og markmiðið </w:t>
      </w:r>
      <w:r w:rsidR="00B158EE">
        <w:rPr>
          <w:lang w:val="is-IS"/>
        </w:rPr>
        <w:t xml:space="preserve">var </w:t>
      </w:r>
      <w:r>
        <w:rPr>
          <w:lang w:val="is-IS"/>
        </w:rPr>
        <w:t xml:space="preserve">meðal annars að kanna hvort salt í malbiksefnum (teknum úr sjó eða úr flæðarmáli) sé líklegt til að skerða endingu malbiks undir sveiflandi álagi eins og gerist undir umferð. Í fyrsta áfanga voru gerðar nokkrar mælingar til að kanna hvort salt í steinefninu hefði áhrif á þol malbiks í einása sveifluprófi eftir mismunandi langa geymslu í vatni. </w:t>
      </w:r>
    </w:p>
    <w:p w14:paraId="33D081E9" w14:textId="1B88C14C" w:rsidR="0074241B" w:rsidRDefault="0074241B" w:rsidP="0074241B">
      <w:pPr>
        <w:overflowPunct/>
        <w:ind w:firstLine="342"/>
        <w:jc w:val="both"/>
        <w:textAlignment w:val="auto"/>
        <w:rPr>
          <w:szCs w:val="22"/>
          <w:lang w:val="is-IS"/>
        </w:rPr>
      </w:pPr>
      <w:r w:rsidRPr="00F95AC5">
        <w:rPr>
          <w:szCs w:val="22"/>
          <w:lang w:val="is-IS"/>
        </w:rPr>
        <w:t>Gerðir voru 32 malbikssívalningar, helmingur þeirra úr hreinu steinefni og hinn helmingurinn úr saltblönduðu steinefni, 10 cm í þvermál og 10 cm háir. Malbikið í þá var blandað úr steinefni frá Seljadal frá Malbikunarstöðinni Höfða og mjúku biki (</w:t>
      </w:r>
      <w:r w:rsidR="00B158EE">
        <w:rPr>
          <w:szCs w:val="22"/>
          <w:lang w:val="is-IS"/>
        </w:rPr>
        <w:t xml:space="preserve">PG </w:t>
      </w:r>
      <w:r w:rsidRPr="00F95AC5">
        <w:rPr>
          <w:szCs w:val="22"/>
          <w:lang w:val="is-IS"/>
        </w:rPr>
        <w:t xml:space="preserve">160/220), án viðloðunarefnis. Sáldurferillinn var í samræmi við kröfur til </w:t>
      </w:r>
      <w:r w:rsidR="00B158EE">
        <w:rPr>
          <w:szCs w:val="22"/>
          <w:lang w:val="is-IS"/>
        </w:rPr>
        <w:t>stífmalbiks, AC</w:t>
      </w:r>
      <w:r w:rsidRPr="00F95AC5">
        <w:rPr>
          <w:szCs w:val="22"/>
          <w:lang w:val="is-IS"/>
        </w:rPr>
        <w:t xml:space="preserve">16 í verklýsingum Vegagerðarinnar og er sýndur á mynd 1 ásamt markalínum fyrir </w:t>
      </w:r>
      <w:r w:rsidR="00B158EE">
        <w:rPr>
          <w:szCs w:val="22"/>
          <w:lang w:val="is-IS"/>
        </w:rPr>
        <w:t>AC</w:t>
      </w:r>
      <w:r w:rsidRPr="00F95AC5">
        <w:rPr>
          <w:szCs w:val="22"/>
          <w:lang w:val="is-IS"/>
        </w:rPr>
        <w:t>16. Þyngdarhlutfall bindiefnis af blöndu var 5,8%, holrýmdin 5,9-6,4% og henni var stýrt með snúðþjöppu (</w:t>
      </w:r>
      <w:r w:rsidR="00B158EE">
        <w:rPr>
          <w:szCs w:val="22"/>
          <w:lang w:val="is-IS"/>
        </w:rPr>
        <w:t xml:space="preserve">e. </w:t>
      </w:r>
      <w:r w:rsidRPr="00F95AC5">
        <w:rPr>
          <w:szCs w:val="22"/>
          <w:lang w:val="is-IS"/>
        </w:rPr>
        <w:t xml:space="preserve">gyratory compactor). Steinefni í helming sívalninganna var látið liggja í 3% vatnslausn af matarsalti, NaCl, í sjö sólarhringa og síðan þurrkað áður en malbikið var blandað. Með stoð í lauslegum útreikningum má ætla að 0,8 g salts séu í hverjum sívalningi, eða 0,4‰ af þyngd steinefnis. Hinn helmingur sívalninganna var saltlaus. </w:t>
      </w:r>
    </w:p>
    <w:p w14:paraId="686C53C7" w14:textId="5235F5CD" w:rsidR="00F70980" w:rsidRDefault="00F70980" w:rsidP="0074241B">
      <w:pPr>
        <w:overflowPunct/>
        <w:ind w:firstLine="342"/>
        <w:jc w:val="both"/>
        <w:textAlignment w:val="auto"/>
        <w:rPr>
          <w:szCs w:val="22"/>
          <w:lang w:val="is-IS"/>
        </w:rPr>
      </w:pPr>
    </w:p>
    <w:p w14:paraId="7B238BBE" w14:textId="1DB4E2CC" w:rsidR="00F70980" w:rsidRDefault="00F70980" w:rsidP="0074241B">
      <w:pPr>
        <w:overflowPunct/>
        <w:ind w:firstLine="342"/>
        <w:jc w:val="both"/>
        <w:textAlignment w:val="auto"/>
        <w:rPr>
          <w:szCs w:val="22"/>
          <w:lang w:val="is-IS"/>
        </w:rPr>
      </w:pPr>
    </w:p>
    <w:p w14:paraId="3F6D7FCE" w14:textId="66CCD78D" w:rsidR="00F70980" w:rsidRDefault="00F70980" w:rsidP="0074241B">
      <w:pPr>
        <w:overflowPunct/>
        <w:ind w:firstLine="342"/>
        <w:jc w:val="both"/>
        <w:textAlignment w:val="auto"/>
        <w:rPr>
          <w:szCs w:val="22"/>
          <w:lang w:val="is-IS"/>
        </w:rPr>
      </w:pPr>
    </w:p>
    <w:p w14:paraId="5B7634A2" w14:textId="60CE00B8" w:rsidR="00F70980" w:rsidRDefault="00F70980" w:rsidP="0074241B">
      <w:pPr>
        <w:overflowPunct/>
        <w:ind w:firstLine="342"/>
        <w:jc w:val="both"/>
        <w:textAlignment w:val="auto"/>
        <w:rPr>
          <w:szCs w:val="22"/>
          <w:lang w:val="is-IS"/>
        </w:rPr>
      </w:pPr>
    </w:p>
    <w:p w14:paraId="59FE72D3" w14:textId="1187FCA5" w:rsidR="00F70980" w:rsidRDefault="00F70980" w:rsidP="0074241B">
      <w:pPr>
        <w:overflowPunct/>
        <w:ind w:firstLine="342"/>
        <w:jc w:val="both"/>
        <w:textAlignment w:val="auto"/>
        <w:rPr>
          <w:szCs w:val="22"/>
          <w:lang w:val="is-IS"/>
        </w:rPr>
      </w:pPr>
    </w:p>
    <w:p w14:paraId="28F40050" w14:textId="33BCC3A5" w:rsidR="00F70980" w:rsidRDefault="00F70980" w:rsidP="0074241B">
      <w:pPr>
        <w:overflowPunct/>
        <w:ind w:firstLine="342"/>
        <w:jc w:val="both"/>
        <w:textAlignment w:val="auto"/>
        <w:rPr>
          <w:szCs w:val="22"/>
          <w:lang w:val="is-IS"/>
        </w:rPr>
      </w:pPr>
    </w:p>
    <w:p w14:paraId="058A6201" w14:textId="77777777" w:rsidR="00F70980" w:rsidRPr="00F95AC5" w:rsidRDefault="00F70980" w:rsidP="0074241B">
      <w:pPr>
        <w:overflowPunct/>
        <w:ind w:firstLine="342"/>
        <w:jc w:val="both"/>
        <w:textAlignment w:val="auto"/>
        <w:rPr>
          <w:szCs w:val="22"/>
          <w:lang w:val="is-IS"/>
        </w:rPr>
      </w:pPr>
    </w:p>
    <w:p w14:paraId="33D081EA" w14:textId="77777777" w:rsidR="0074241B" w:rsidRPr="00F95AC5" w:rsidRDefault="00843AB8" w:rsidP="0074241B">
      <w:pPr>
        <w:overflowPunct/>
        <w:jc w:val="both"/>
        <w:textAlignment w:val="auto"/>
        <w:rPr>
          <w:szCs w:val="22"/>
          <w:lang w:val="is-IS"/>
        </w:rPr>
      </w:pPr>
      <w:r w:rsidRPr="00753BC8">
        <w:rPr>
          <w:noProof/>
          <w:lang w:eastAsia="en-GB"/>
        </w:rPr>
        <w:lastRenderedPageBreak/>
        <w:drawing>
          <wp:anchor distT="0" distB="0" distL="114300" distR="114300" simplePos="0" relativeHeight="251657728" behindDoc="0" locked="0" layoutInCell="1" allowOverlap="1" wp14:anchorId="33D08287" wp14:editId="33D08288">
            <wp:simplePos x="0" y="0"/>
            <wp:positionH relativeFrom="column">
              <wp:posOffset>868680</wp:posOffset>
            </wp:positionH>
            <wp:positionV relativeFrom="paragraph">
              <wp:posOffset>29210</wp:posOffset>
            </wp:positionV>
            <wp:extent cx="3429000" cy="2645410"/>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9000" cy="2645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D081EB" w14:textId="77777777" w:rsidR="0074241B" w:rsidRPr="00F95AC5" w:rsidRDefault="0074241B" w:rsidP="0074241B">
      <w:pPr>
        <w:overflowPunct/>
        <w:jc w:val="both"/>
        <w:textAlignment w:val="auto"/>
        <w:rPr>
          <w:szCs w:val="22"/>
          <w:lang w:val="is-IS"/>
        </w:rPr>
      </w:pPr>
    </w:p>
    <w:p w14:paraId="33D081EC" w14:textId="77777777" w:rsidR="0074241B" w:rsidRPr="00F95AC5" w:rsidRDefault="0074241B" w:rsidP="0074241B">
      <w:pPr>
        <w:overflowPunct/>
        <w:jc w:val="both"/>
        <w:textAlignment w:val="auto"/>
        <w:rPr>
          <w:szCs w:val="22"/>
          <w:lang w:val="is-IS"/>
        </w:rPr>
      </w:pPr>
    </w:p>
    <w:p w14:paraId="33D081ED" w14:textId="77777777" w:rsidR="0074241B" w:rsidRPr="00F95AC5" w:rsidRDefault="0074241B" w:rsidP="0074241B">
      <w:pPr>
        <w:overflowPunct/>
        <w:jc w:val="both"/>
        <w:textAlignment w:val="auto"/>
        <w:rPr>
          <w:szCs w:val="22"/>
          <w:lang w:val="is-IS"/>
        </w:rPr>
      </w:pPr>
    </w:p>
    <w:p w14:paraId="33D081EE" w14:textId="77777777" w:rsidR="0074241B" w:rsidRPr="00F95AC5" w:rsidRDefault="0074241B" w:rsidP="0074241B">
      <w:pPr>
        <w:overflowPunct/>
        <w:jc w:val="both"/>
        <w:textAlignment w:val="auto"/>
        <w:rPr>
          <w:szCs w:val="22"/>
          <w:lang w:val="is-IS"/>
        </w:rPr>
      </w:pPr>
    </w:p>
    <w:p w14:paraId="33D081EF" w14:textId="77777777" w:rsidR="0074241B" w:rsidRPr="00F95AC5" w:rsidRDefault="0074241B" w:rsidP="0074241B">
      <w:pPr>
        <w:overflowPunct/>
        <w:jc w:val="both"/>
        <w:textAlignment w:val="auto"/>
        <w:rPr>
          <w:szCs w:val="22"/>
          <w:lang w:val="is-IS"/>
        </w:rPr>
      </w:pPr>
    </w:p>
    <w:p w14:paraId="33D081F0" w14:textId="77777777" w:rsidR="0074241B" w:rsidRPr="00F95AC5" w:rsidRDefault="0074241B" w:rsidP="0074241B">
      <w:pPr>
        <w:overflowPunct/>
        <w:jc w:val="both"/>
        <w:textAlignment w:val="auto"/>
        <w:rPr>
          <w:szCs w:val="22"/>
          <w:lang w:val="is-IS"/>
        </w:rPr>
      </w:pPr>
    </w:p>
    <w:p w14:paraId="33D081F1" w14:textId="77777777" w:rsidR="0074241B" w:rsidRPr="00F95AC5" w:rsidRDefault="0074241B" w:rsidP="0074241B">
      <w:pPr>
        <w:overflowPunct/>
        <w:jc w:val="both"/>
        <w:textAlignment w:val="auto"/>
        <w:rPr>
          <w:szCs w:val="22"/>
          <w:lang w:val="is-IS"/>
        </w:rPr>
      </w:pPr>
    </w:p>
    <w:p w14:paraId="33D081F2" w14:textId="77777777" w:rsidR="0074241B" w:rsidRPr="00F95AC5" w:rsidRDefault="0074241B" w:rsidP="0074241B">
      <w:pPr>
        <w:overflowPunct/>
        <w:jc w:val="both"/>
        <w:textAlignment w:val="auto"/>
        <w:rPr>
          <w:szCs w:val="22"/>
          <w:lang w:val="is-IS"/>
        </w:rPr>
      </w:pPr>
    </w:p>
    <w:p w14:paraId="33D081F3" w14:textId="77777777" w:rsidR="0074241B" w:rsidRPr="00F95AC5" w:rsidRDefault="0074241B" w:rsidP="0074241B">
      <w:pPr>
        <w:overflowPunct/>
        <w:jc w:val="both"/>
        <w:textAlignment w:val="auto"/>
        <w:rPr>
          <w:szCs w:val="22"/>
          <w:lang w:val="is-IS"/>
        </w:rPr>
      </w:pPr>
    </w:p>
    <w:p w14:paraId="33D081F4" w14:textId="77777777" w:rsidR="0074241B" w:rsidRPr="00F95AC5" w:rsidRDefault="0074241B" w:rsidP="0074241B">
      <w:pPr>
        <w:overflowPunct/>
        <w:jc w:val="both"/>
        <w:textAlignment w:val="auto"/>
        <w:rPr>
          <w:szCs w:val="22"/>
          <w:lang w:val="is-IS"/>
        </w:rPr>
      </w:pPr>
    </w:p>
    <w:p w14:paraId="33D081F5" w14:textId="77777777" w:rsidR="0074241B" w:rsidRPr="00F95AC5" w:rsidRDefault="0074241B" w:rsidP="0074241B">
      <w:pPr>
        <w:overflowPunct/>
        <w:jc w:val="both"/>
        <w:textAlignment w:val="auto"/>
        <w:rPr>
          <w:szCs w:val="22"/>
          <w:lang w:val="is-IS"/>
        </w:rPr>
      </w:pPr>
    </w:p>
    <w:p w14:paraId="33D081F6" w14:textId="77777777" w:rsidR="0074241B" w:rsidRPr="00F95AC5" w:rsidRDefault="0074241B" w:rsidP="0074241B">
      <w:pPr>
        <w:overflowPunct/>
        <w:jc w:val="both"/>
        <w:textAlignment w:val="auto"/>
        <w:rPr>
          <w:szCs w:val="22"/>
          <w:lang w:val="is-IS"/>
        </w:rPr>
      </w:pPr>
    </w:p>
    <w:p w14:paraId="33D081F7" w14:textId="77777777" w:rsidR="0074241B" w:rsidRPr="00F95AC5" w:rsidRDefault="0074241B" w:rsidP="0074241B">
      <w:pPr>
        <w:overflowPunct/>
        <w:jc w:val="both"/>
        <w:textAlignment w:val="auto"/>
        <w:rPr>
          <w:szCs w:val="22"/>
          <w:lang w:val="is-IS"/>
        </w:rPr>
      </w:pPr>
    </w:p>
    <w:p w14:paraId="33D081F8" w14:textId="77777777" w:rsidR="0074241B" w:rsidRPr="00F95AC5" w:rsidRDefault="0074241B" w:rsidP="0074241B">
      <w:pPr>
        <w:overflowPunct/>
        <w:jc w:val="both"/>
        <w:textAlignment w:val="auto"/>
        <w:rPr>
          <w:szCs w:val="22"/>
          <w:lang w:val="is-IS"/>
        </w:rPr>
      </w:pPr>
    </w:p>
    <w:p w14:paraId="33D081F9" w14:textId="77777777" w:rsidR="0074241B" w:rsidRPr="00F95AC5" w:rsidRDefault="0074241B" w:rsidP="0074241B">
      <w:pPr>
        <w:overflowPunct/>
        <w:jc w:val="both"/>
        <w:textAlignment w:val="auto"/>
        <w:rPr>
          <w:szCs w:val="22"/>
          <w:lang w:val="is-IS"/>
        </w:rPr>
      </w:pPr>
    </w:p>
    <w:p w14:paraId="33D081FA" w14:textId="77777777" w:rsidR="0074241B" w:rsidRPr="00F95AC5" w:rsidRDefault="0074241B" w:rsidP="0074241B">
      <w:pPr>
        <w:overflowPunct/>
        <w:jc w:val="both"/>
        <w:textAlignment w:val="auto"/>
        <w:rPr>
          <w:sz w:val="18"/>
          <w:szCs w:val="18"/>
          <w:lang w:val="is-IS"/>
        </w:rPr>
      </w:pPr>
    </w:p>
    <w:p w14:paraId="33D081FB" w14:textId="1B39C5AA" w:rsidR="0074241B" w:rsidRPr="004D7B8A" w:rsidRDefault="0074241B" w:rsidP="004D7B8A">
      <w:pPr>
        <w:overflowPunct/>
        <w:ind w:left="1368" w:right="1739"/>
        <w:jc w:val="both"/>
        <w:textAlignment w:val="auto"/>
        <w:rPr>
          <w:sz w:val="20"/>
          <w:lang w:val="is-IS"/>
        </w:rPr>
      </w:pPr>
      <w:r w:rsidRPr="00F95AC5">
        <w:rPr>
          <w:b/>
          <w:sz w:val="20"/>
          <w:lang w:val="is-IS"/>
        </w:rPr>
        <w:t xml:space="preserve">Mynd 1. </w:t>
      </w:r>
      <w:r w:rsidRPr="004D7B8A">
        <w:rPr>
          <w:sz w:val="20"/>
          <w:lang w:val="is-IS"/>
        </w:rPr>
        <w:t xml:space="preserve">Sáldurferill steinefnis í malbikssívalningum (heildregin lína) ásamt markalínum fyrir </w:t>
      </w:r>
      <w:r w:rsidR="00B158EE">
        <w:rPr>
          <w:sz w:val="20"/>
          <w:lang w:val="is-IS"/>
        </w:rPr>
        <w:t>AC</w:t>
      </w:r>
      <w:r w:rsidRPr="004D7B8A">
        <w:rPr>
          <w:sz w:val="20"/>
          <w:lang w:val="is-IS"/>
        </w:rPr>
        <w:t xml:space="preserve">16 (punktalínur). </w:t>
      </w:r>
    </w:p>
    <w:p w14:paraId="33D081FC" w14:textId="77777777" w:rsidR="0074241B" w:rsidRPr="00F95AC5" w:rsidRDefault="0074241B" w:rsidP="0074241B">
      <w:pPr>
        <w:overflowPunct/>
        <w:jc w:val="both"/>
        <w:textAlignment w:val="auto"/>
        <w:rPr>
          <w:rFonts w:ascii="Arial" w:hAnsi="Arial" w:cs="Arial"/>
          <w:b/>
          <w:sz w:val="20"/>
          <w:lang w:val="is-IS"/>
        </w:rPr>
      </w:pPr>
    </w:p>
    <w:p w14:paraId="33D081FD" w14:textId="77777777" w:rsidR="0074241B" w:rsidRPr="00F95AC5" w:rsidRDefault="0074241B" w:rsidP="0074241B">
      <w:pPr>
        <w:jc w:val="both"/>
        <w:rPr>
          <w:szCs w:val="22"/>
          <w:lang w:val="is-IS"/>
        </w:rPr>
      </w:pPr>
      <w:r w:rsidRPr="00F95AC5">
        <w:rPr>
          <w:szCs w:val="22"/>
          <w:lang w:val="is-IS"/>
        </w:rPr>
        <w:t xml:space="preserve">Sívalningunum var skipt í syrpur þannig að í hverri syrpu voru fjórir sívalningar með saltblönduðu steinefni og </w:t>
      </w:r>
      <w:r w:rsidRPr="0074241B">
        <w:rPr>
          <w:lang w:val="is-IS"/>
        </w:rPr>
        <w:t>aðrir</w:t>
      </w:r>
      <w:r w:rsidRPr="00F95AC5">
        <w:rPr>
          <w:szCs w:val="22"/>
          <w:lang w:val="is-IS"/>
        </w:rPr>
        <w:t xml:space="preserve"> fjórir saltlausir. Sívalningarnir voru valdir í syrpurnar með hjálp slembitalna. Hver syrpa var látin standa í vatni við stofuhita í tvær, fimm eða tíu vikur, án lofttæmingar. Að því búnu voru sívalningarnir prófaðir.</w:t>
      </w:r>
    </w:p>
    <w:p w14:paraId="33D081FE" w14:textId="1260D324" w:rsidR="0074241B" w:rsidRPr="00F95AC5" w:rsidRDefault="0074241B" w:rsidP="0074241B">
      <w:pPr>
        <w:ind w:firstLine="342"/>
        <w:jc w:val="both"/>
        <w:rPr>
          <w:szCs w:val="22"/>
          <w:lang w:val="nb-NO"/>
        </w:rPr>
      </w:pPr>
      <w:r w:rsidRPr="00F95AC5">
        <w:rPr>
          <w:szCs w:val="22"/>
          <w:lang w:val="is-IS"/>
        </w:rPr>
        <w:t xml:space="preserve">Prófunaraðferðin er mjög einfölduð útgáfa af sænskri prófunaraðferð [Höbeda 1999, bls. 29]. Þegar sívalningur hafði verið í vatnsbaði tilsettan tíma var honum komið fyrir í þríásatæki undir sveiflandi álagi, án </w:t>
      </w:r>
      <w:r w:rsidRPr="0074241B">
        <w:rPr>
          <w:lang w:val="is-IS"/>
        </w:rPr>
        <w:t>hefðbundins</w:t>
      </w:r>
      <w:r w:rsidRPr="00F95AC5">
        <w:rPr>
          <w:szCs w:val="22"/>
          <w:lang w:val="is-IS"/>
        </w:rPr>
        <w:t xml:space="preserve"> hliðarstuðnings en á kafi í vatni. Hitastigi vatnsins var ekki stýrt meðan á prófun stóð en var um 20°C. Þrýstingur á yfirborð vatnsins (selluþrýstingur) var hafður 100 kPa. Grunnálag á endafleti sívalninganna var sömuleiðis haft 100 kPa. Síðan var lagt 600 kPa sveiflandi álag (</w:t>
      </w:r>
      <w:r w:rsidR="00B158EE">
        <w:rPr>
          <w:szCs w:val="22"/>
          <w:lang w:val="is-IS"/>
        </w:rPr>
        <w:t xml:space="preserve">e. </w:t>
      </w:r>
      <w:r w:rsidRPr="00F95AC5">
        <w:rPr>
          <w:szCs w:val="22"/>
          <w:lang w:val="is-IS"/>
        </w:rPr>
        <w:t xml:space="preserve">haversine) á endafletina með tíðnina 3 Hz. </w:t>
      </w:r>
      <w:r w:rsidRPr="00F95AC5">
        <w:rPr>
          <w:szCs w:val="22"/>
          <w:lang w:val="nb-NO"/>
        </w:rPr>
        <w:t xml:space="preserve">Mesta aflögun var takmörkuð við 15 mm og hámarksfjöldi sveifla við 100.000. Streita var mæld sem fall af sveiflufjölda.   </w:t>
      </w:r>
    </w:p>
    <w:p w14:paraId="33D08201" w14:textId="77777777" w:rsidR="0074241B" w:rsidRDefault="0074241B" w:rsidP="0074241B">
      <w:pPr>
        <w:spacing w:after="60"/>
        <w:jc w:val="center"/>
        <w:rPr>
          <w:color w:val="FF0000"/>
          <w:lang w:val="is-IS"/>
        </w:rPr>
      </w:pPr>
      <w:r>
        <w:object w:dxaOrig="8736" w:dyaOrig="6778" w14:anchorId="33D08289">
          <v:shape id="_x0000_i1026" type="#_x0000_t75" style="width:300.3pt;height:216.45pt" o:ole="">
            <v:imagedata r:id="rId14" o:title="" croptop="4331f"/>
          </v:shape>
          <o:OLEObject Type="Embed" ProgID="SigmaPlotGraphicObject.8" ShapeID="_x0000_i1026" DrawAspect="Content" ObjectID="_1663758591" r:id="rId15"/>
        </w:object>
      </w:r>
    </w:p>
    <w:p w14:paraId="33D08202" w14:textId="303C7BF8" w:rsidR="0074241B" w:rsidRPr="004D7B8A" w:rsidRDefault="0074241B" w:rsidP="0074241B">
      <w:pPr>
        <w:spacing w:after="60"/>
        <w:ind w:left="1197" w:right="1397"/>
        <w:jc w:val="both"/>
        <w:rPr>
          <w:sz w:val="20"/>
          <w:lang w:val="is-IS"/>
        </w:rPr>
      </w:pPr>
      <w:r>
        <w:rPr>
          <w:b/>
          <w:sz w:val="20"/>
          <w:lang w:val="is-IS"/>
        </w:rPr>
        <w:t xml:space="preserve">Mynd </w:t>
      </w:r>
      <w:r w:rsidR="004D7B8A">
        <w:rPr>
          <w:b/>
          <w:sz w:val="20"/>
          <w:lang w:val="is-IS"/>
        </w:rPr>
        <w:t>2</w:t>
      </w:r>
      <w:r>
        <w:rPr>
          <w:b/>
          <w:sz w:val="20"/>
          <w:lang w:val="is-IS"/>
        </w:rPr>
        <w:t xml:space="preserve">. </w:t>
      </w:r>
      <w:r w:rsidRPr="004D7B8A">
        <w:rPr>
          <w:sz w:val="20"/>
          <w:lang w:val="is-IS"/>
        </w:rPr>
        <w:t>Þreytuþol malbikssívalninga úr hreinu og saltblönduðu steinefni í prófun undir sveiflandi álagi eftir geymslu í vatni í mismunandi langan tíma. Grönn strik sýna 95% öryggisbil fyrir meðaltal mælinga á hverri malbiksgerð.</w:t>
      </w:r>
    </w:p>
    <w:p w14:paraId="33D08203" w14:textId="77777777" w:rsidR="0074241B" w:rsidRDefault="0074241B" w:rsidP="0074241B">
      <w:pPr>
        <w:spacing w:after="60"/>
        <w:jc w:val="both"/>
        <w:rPr>
          <w:lang w:val="is-IS"/>
        </w:rPr>
      </w:pPr>
    </w:p>
    <w:p w14:paraId="33D08204" w14:textId="77777777" w:rsidR="0074241B" w:rsidRDefault="0074241B" w:rsidP="0074241B">
      <w:pPr>
        <w:spacing w:after="60"/>
        <w:jc w:val="both"/>
        <w:rPr>
          <w:lang w:val="is-IS"/>
        </w:rPr>
      </w:pPr>
      <w:r>
        <w:rPr>
          <w:lang w:val="is-IS"/>
        </w:rPr>
        <w:t xml:space="preserve">Niðurstöðurnar prófananna gefa eftirfarandi til kynna: </w:t>
      </w:r>
    </w:p>
    <w:p w14:paraId="33D08205" w14:textId="77777777" w:rsidR="0074241B" w:rsidRDefault="0074241B" w:rsidP="0074241B">
      <w:pPr>
        <w:numPr>
          <w:ilvl w:val="0"/>
          <w:numId w:val="12"/>
        </w:numPr>
        <w:spacing w:after="60"/>
        <w:jc w:val="both"/>
        <w:rPr>
          <w:lang w:val="is-IS"/>
        </w:rPr>
      </w:pPr>
      <w:r>
        <w:rPr>
          <w:lang w:val="is-IS"/>
        </w:rPr>
        <w:lastRenderedPageBreak/>
        <w:t xml:space="preserve">Ef steinefnið er saltlaust er þreytuþolið áþekkt hvort sem malbikið er geymt í vatni í tvær, fimm eða tíu vikur. </w:t>
      </w:r>
    </w:p>
    <w:p w14:paraId="33D08206" w14:textId="1B6CA154" w:rsidR="0074241B" w:rsidRPr="00DD1F9A" w:rsidRDefault="0074241B" w:rsidP="0074241B">
      <w:pPr>
        <w:numPr>
          <w:ilvl w:val="0"/>
          <w:numId w:val="12"/>
        </w:numPr>
        <w:spacing w:after="60"/>
        <w:jc w:val="both"/>
        <w:rPr>
          <w:lang w:val="is-IS"/>
        </w:rPr>
      </w:pPr>
      <w:r>
        <w:rPr>
          <w:lang w:val="is-IS"/>
        </w:rPr>
        <w:t xml:space="preserve">Þreytuþol malbiks úr saltlausu steinefni </w:t>
      </w:r>
      <w:r w:rsidR="00855F56">
        <w:rPr>
          <w:lang w:val="is-IS"/>
        </w:rPr>
        <w:t xml:space="preserve">er </w:t>
      </w:r>
      <w:r>
        <w:rPr>
          <w:lang w:val="is-IS"/>
        </w:rPr>
        <w:t xml:space="preserve">um það bil fjórfalt til tífalt á við þreytuþol malbiks úr steinefni sem inniheldur um </w:t>
      </w:r>
      <w:r w:rsidRPr="00F95AC5">
        <w:rPr>
          <w:szCs w:val="22"/>
          <w:lang w:val="is-IS"/>
        </w:rPr>
        <w:t>0,4‰ salts af þyngd steinefnis, eftir geymslu í vatni í tvær, fimm eða tíu vikur. Margfeldið hækkar eftir því sem malbikið er geymt lengur í vatni, m.ö.o. eykst mismunurinn á þreytuþoli malbik</w:t>
      </w:r>
      <w:r w:rsidR="00183D3E">
        <w:rPr>
          <w:szCs w:val="22"/>
          <w:lang w:val="is-IS"/>
        </w:rPr>
        <w:t>s</w:t>
      </w:r>
      <w:r w:rsidRPr="00F95AC5">
        <w:rPr>
          <w:szCs w:val="22"/>
          <w:lang w:val="is-IS"/>
        </w:rPr>
        <w:t xml:space="preserve"> úr salt</w:t>
      </w:r>
      <w:r w:rsidR="00183D3E">
        <w:rPr>
          <w:szCs w:val="22"/>
          <w:lang w:val="is-IS"/>
        </w:rPr>
        <w:t>blönduðu</w:t>
      </w:r>
      <w:r w:rsidR="001F0FB6">
        <w:rPr>
          <w:szCs w:val="22"/>
          <w:lang w:val="is-IS"/>
        </w:rPr>
        <w:t xml:space="preserve"> steinefni og </w:t>
      </w:r>
      <w:r w:rsidRPr="00F95AC5">
        <w:rPr>
          <w:szCs w:val="22"/>
          <w:lang w:val="is-IS"/>
        </w:rPr>
        <w:t xml:space="preserve">saltlausu eftir því sem geymslutími malbiksins í vatni eykst. </w:t>
      </w:r>
    </w:p>
    <w:p w14:paraId="33D08207" w14:textId="77777777" w:rsidR="0074241B" w:rsidRDefault="0074241B" w:rsidP="00F423B4">
      <w:pPr>
        <w:numPr>
          <w:ilvl w:val="0"/>
          <w:numId w:val="12"/>
        </w:numPr>
        <w:spacing w:after="60"/>
        <w:ind w:left="714" w:hanging="357"/>
        <w:jc w:val="both"/>
        <w:rPr>
          <w:lang w:val="is-IS"/>
        </w:rPr>
      </w:pPr>
      <w:r>
        <w:rPr>
          <w:lang w:val="is-IS"/>
        </w:rPr>
        <w:t>Þreytuþol ma</w:t>
      </w:r>
      <w:r w:rsidR="00855F56">
        <w:rPr>
          <w:lang w:val="is-IS"/>
        </w:rPr>
        <w:t>l</w:t>
      </w:r>
      <w:r>
        <w:rPr>
          <w:lang w:val="is-IS"/>
        </w:rPr>
        <w:t xml:space="preserve">biks úr saltblönduðu steinefni virðist minnka í réttu hlutfalli við geymslutíma í vatni, sjá mynd </w:t>
      </w:r>
      <w:r w:rsidR="00855F56">
        <w:rPr>
          <w:lang w:val="is-IS"/>
        </w:rPr>
        <w:t>2</w:t>
      </w:r>
      <w:r>
        <w:rPr>
          <w:lang w:val="is-IS"/>
        </w:rPr>
        <w:t>. Dreifing niðurstaðna úr prófunum á samskonar sýnum er mikil og óvíst að munurinn á þreytuþoli sýna úr saltblönduðu steinefni eftir tvær vikur annars vegar og fimm vikur hinsvegar sé marktækur. Hins vegar er samsvarandi mismunur eftir geymslu í vatni í fimm vikur annars vegar og tí</w:t>
      </w:r>
      <w:r w:rsidR="001F0FB6">
        <w:rPr>
          <w:lang w:val="is-IS"/>
        </w:rPr>
        <w:t>u vikur hinsvegar</w:t>
      </w:r>
      <w:r>
        <w:rPr>
          <w:lang w:val="is-IS"/>
        </w:rPr>
        <w:t xml:space="preserve"> ótvírætt marktækur</w:t>
      </w:r>
      <w:r w:rsidR="00855F56">
        <w:rPr>
          <w:lang w:val="is-IS"/>
        </w:rPr>
        <w:t>.</w:t>
      </w:r>
    </w:p>
    <w:p w14:paraId="33D08208" w14:textId="77777777" w:rsidR="0074241B" w:rsidRDefault="0074241B" w:rsidP="0074241B">
      <w:pPr>
        <w:jc w:val="both"/>
        <w:rPr>
          <w:lang w:val="is-IS"/>
        </w:rPr>
      </w:pPr>
      <w:r>
        <w:rPr>
          <w:lang w:val="is-IS"/>
        </w:rPr>
        <w:t xml:space="preserve">Þess má geta að forprófanir (á samskonar malbikssívalningum og niðurstöðurnar hér á undan byggjast á) sýndu engan mun á þreytuþoli malbiks úr hreinu og saltblönduðu steinefni, ef sívalningarnir höfðu ekki legið í vatni. Þetta bendir til að skert þreytuþol í malbikssýnum sem þessum </w:t>
      </w:r>
      <w:r w:rsidRPr="00723D30">
        <w:rPr>
          <w:i/>
          <w:lang w:val="is-IS"/>
        </w:rPr>
        <w:t>komi því aðeins fram að steinefnið sé saltblandað og að sýnin hafi legið í vatni.</w:t>
      </w:r>
    </w:p>
    <w:p w14:paraId="33D08209" w14:textId="3175CAE4" w:rsidR="0074241B" w:rsidRPr="00F95AC5" w:rsidRDefault="0074241B" w:rsidP="0074241B">
      <w:pPr>
        <w:ind w:firstLine="342"/>
        <w:jc w:val="both"/>
        <w:rPr>
          <w:szCs w:val="22"/>
          <w:lang w:val="is-IS"/>
        </w:rPr>
      </w:pPr>
      <w:r>
        <w:rPr>
          <w:lang w:val="is-IS"/>
        </w:rPr>
        <w:t xml:space="preserve">Í byggingarreglugerð er krafa um að innihald af NaCl í þurrum sandi sem nota á í járnbenta steypu sé ekki meira en 0,6 g/kg </w:t>
      </w:r>
      <w:r w:rsidRPr="00F95AC5">
        <w:rPr>
          <w:szCs w:val="22"/>
          <w:lang w:val="is-IS"/>
        </w:rPr>
        <w:t xml:space="preserve">og 0,2 g/kg </w:t>
      </w:r>
      <w:r>
        <w:rPr>
          <w:lang w:val="is-IS"/>
        </w:rPr>
        <w:t>(</w:t>
      </w:r>
      <w:r w:rsidR="00855F56">
        <w:rPr>
          <w:lang w:val="is-IS"/>
        </w:rPr>
        <w:t>g/kg samsvarar</w:t>
      </w:r>
      <w:r>
        <w:rPr>
          <w:lang w:val="is-IS"/>
        </w:rPr>
        <w:t xml:space="preserve"> </w:t>
      </w:r>
      <w:r w:rsidRPr="00F95AC5">
        <w:rPr>
          <w:szCs w:val="22"/>
          <w:lang w:val="is-IS"/>
        </w:rPr>
        <w:t>‰ af þyngd) ef sandinn á að nota í strengjasteypu. Í þessu ljósi er athyglisvert að 0,4‰ saltinnihald skuli hafa jafn afdráttarlaus áhrif á þreytuþol malbiks og ofangreindar niðurstöður gefa til kynna.</w:t>
      </w:r>
    </w:p>
    <w:p w14:paraId="33D0820A" w14:textId="77777777" w:rsidR="0074241B" w:rsidRPr="00F95AC5" w:rsidRDefault="0074241B" w:rsidP="0074241B">
      <w:pPr>
        <w:ind w:firstLine="342"/>
        <w:jc w:val="both"/>
        <w:rPr>
          <w:szCs w:val="22"/>
          <w:lang w:val="is-IS"/>
        </w:rPr>
      </w:pPr>
      <w:r w:rsidRPr="00F95AC5">
        <w:rPr>
          <w:szCs w:val="22"/>
          <w:lang w:val="is-IS"/>
        </w:rPr>
        <w:t xml:space="preserve">Ofangreindar niðurstöður niðurstöður vekja vonir um að hægt sé að stýra viðloðun milli steinefnis og bindiefnis að vissu marki með því að blanda ákveðnu magni af salti í steinefnið og setja </w:t>
      </w:r>
      <w:r w:rsidRPr="0074241B">
        <w:rPr>
          <w:lang w:val="is-IS"/>
        </w:rPr>
        <w:t>malbikið</w:t>
      </w:r>
      <w:r w:rsidRPr="00F95AC5">
        <w:rPr>
          <w:szCs w:val="22"/>
          <w:lang w:val="is-IS"/>
        </w:rPr>
        <w:t xml:space="preserve"> síðan í vatn, reyndar aðeins til að skerða viðloðun milli steinefnis og bindiefnis. Reynist þetta rétt gæti það hugsanlega komið að notum við rannsóknir á viðloðunareiginleikum í malbiki. </w:t>
      </w:r>
    </w:p>
    <w:p w14:paraId="33D0820B" w14:textId="77777777" w:rsidR="0074241B" w:rsidRPr="00F95AC5" w:rsidRDefault="0074241B" w:rsidP="0074241B">
      <w:pPr>
        <w:ind w:firstLine="342"/>
        <w:jc w:val="both"/>
        <w:rPr>
          <w:szCs w:val="22"/>
          <w:lang w:val="is-IS"/>
        </w:rPr>
      </w:pPr>
      <w:r w:rsidRPr="00F95AC5">
        <w:rPr>
          <w:szCs w:val="22"/>
          <w:lang w:val="is-IS"/>
        </w:rPr>
        <w:t xml:space="preserve">Þótt framangreindar niðurstöður sýni ótvíræðan mismun á þreytuþoli, er ekki þar með sagt að þreytuþol malbiks í slitlagi skerðist, þótt steinefnið innihaldi salt og slitlagið sé blautt langtímum saman eins og hér gerist oft. Í fyrsta lagi er holrýmd í útlögðu malbiki að jafnaði langtum </w:t>
      </w:r>
      <w:r w:rsidRPr="0074241B">
        <w:rPr>
          <w:lang w:val="is-IS"/>
        </w:rPr>
        <w:t>lægri</w:t>
      </w:r>
      <w:r w:rsidRPr="00F95AC5">
        <w:rPr>
          <w:szCs w:val="22"/>
          <w:lang w:val="is-IS"/>
        </w:rPr>
        <w:t xml:space="preserve"> en í malbikssýnunum í þessari rannsókn, jafnvel svo að malbikið megi teljast vatnsþétt. Í öðru lagi fær malbik í götu oft tækifæri til að þorna af og til sem getur hugsanlega haft jákvæð áhrif á þreytuþolið. Í þriðja lagi getur skipt verulegu máli hvort saltið er fyrir í steinefninu áður en bindiefninu er blandað saman við, eða hvort það kemur utan frá með yfirborðsvatni sem síast inn í malbikið (til dæmis frá hálkueyðingu). Á hinn bóginn er sennilegt að frost-þíðu sveiflur, sem að jafnaði skipta tugum á höfuðborgarsvæðinu á hverjum vetri, flýti fyrir áhrifum salts á þreytuþol malbiksins.</w:t>
      </w:r>
    </w:p>
    <w:p w14:paraId="33D0820C" w14:textId="77777777" w:rsidR="0074241B" w:rsidRPr="00F95AC5" w:rsidRDefault="0074241B" w:rsidP="0074241B">
      <w:pPr>
        <w:spacing w:after="60"/>
        <w:jc w:val="both"/>
        <w:rPr>
          <w:szCs w:val="22"/>
          <w:lang w:val="is-IS"/>
        </w:rPr>
      </w:pPr>
    </w:p>
    <w:p w14:paraId="33D0820D" w14:textId="77777777" w:rsidR="00B01C2B" w:rsidRPr="00463C58" w:rsidRDefault="00B01C2B" w:rsidP="00B01C2B">
      <w:pPr>
        <w:ind w:firstLine="340"/>
        <w:jc w:val="both"/>
        <w:rPr>
          <w:b/>
          <w:color w:val="FF0000"/>
          <w:lang w:val="is-IS"/>
        </w:rPr>
      </w:pPr>
      <w:r w:rsidRPr="00463C58">
        <w:rPr>
          <w:b/>
          <w:color w:val="FF0000"/>
          <w:lang w:val="is-IS"/>
        </w:rPr>
        <w:t>ATHUGASEMD RITSTJÓRNAR Í JANÚAR 2020</w:t>
      </w:r>
    </w:p>
    <w:p w14:paraId="33D0820E" w14:textId="77777777" w:rsidR="00B01C2B" w:rsidRDefault="00B01C2B" w:rsidP="00B01C2B">
      <w:pPr>
        <w:spacing w:after="60"/>
        <w:jc w:val="both"/>
        <w:rPr>
          <w:lang w:val="is-IS"/>
        </w:rPr>
      </w:pPr>
      <w:r w:rsidRPr="00463C58">
        <w:rPr>
          <w:color w:val="FF0000"/>
        </w:rPr>
        <w:t>Þessi kafli fær að halda sér að mestu leyti, nema umfjöllun um Alverk ´95 er tekin út.</w:t>
      </w:r>
    </w:p>
    <w:p w14:paraId="33D0820F" w14:textId="77777777" w:rsidR="0074241B" w:rsidRPr="00F95AC5" w:rsidRDefault="0074241B" w:rsidP="0074241B">
      <w:pPr>
        <w:spacing w:after="60"/>
        <w:jc w:val="both"/>
        <w:rPr>
          <w:szCs w:val="22"/>
          <w:lang w:val="is-IS"/>
        </w:rPr>
      </w:pPr>
    </w:p>
    <w:p w14:paraId="33D08210" w14:textId="77777777" w:rsidR="0074241B" w:rsidRPr="00E57041" w:rsidRDefault="00E57041" w:rsidP="00E57041">
      <w:pPr>
        <w:spacing w:after="60"/>
        <w:rPr>
          <w:b/>
          <w:sz w:val="24"/>
          <w:szCs w:val="24"/>
          <w:lang w:val="is-IS"/>
        </w:rPr>
      </w:pPr>
      <w:r>
        <w:rPr>
          <w:b/>
          <w:sz w:val="24"/>
          <w:szCs w:val="24"/>
          <w:lang w:val="is-IS"/>
        </w:rPr>
        <w:t>HEIMILDIR</w:t>
      </w:r>
    </w:p>
    <w:p w14:paraId="33D08211" w14:textId="77777777" w:rsidR="0074241B" w:rsidRPr="000E198B" w:rsidRDefault="0074241B" w:rsidP="0074241B">
      <w:pPr>
        <w:ind w:left="342" w:hanging="342"/>
        <w:jc w:val="both"/>
        <w:rPr>
          <w:lang w:val="is-IS"/>
        </w:rPr>
      </w:pPr>
      <w:r w:rsidRPr="000E198B">
        <w:rPr>
          <w:lang w:val="is-IS"/>
        </w:rPr>
        <w:t xml:space="preserve">Alverk ´95. 1995. </w:t>
      </w:r>
      <w:r w:rsidRPr="00683450">
        <w:rPr>
          <w:i/>
          <w:lang w:val="is-IS"/>
        </w:rPr>
        <w:t>Almenn verklýsing fyrir vega og brúargerð.</w:t>
      </w:r>
      <w:r w:rsidRPr="000E198B">
        <w:rPr>
          <w:lang w:val="is-IS"/>
        </w:rPr>
        <w:t xml:space="preserve"> Vegagerðin, Reykjavík.</w:t>
      </w:r>
    </w:p>
    <w:p w14:paraId="33D08212" w14:textId="77777777" w:rsidR="0074241B" w:rsidRPr="000E198B" w:rsidRDefault="0074241B" w:rsidP="0074241B">
      <w:pPr>
        <w:ind w:left="342" w:hanging="342"/>
        <w:jc w:val="both"/>
        <w:rPr>
          <w:lang w:val="is-IS"/>
        </w:rPr>
      </w:pPr>
      <w:r w:rsidRPr="000E198B">
        <w:rPr>
          <w:lang w:val="is-IS"/>
        </w:rPr>
        <w:t xml:space="preserve">Höbeda, P., Jerzy Chytla. 1999. </w:t>
      </w:r>
      <w:r w:rsidRPr="00683450">
        <w:rPr>
          <w:i/>
          <w:lang w:val="is-IS"/>
        </w:rPr>
        <w:t>Undersökning av beständigheten hos AG 16 enligt ny metod och effect av vidhäftningsbefrämjande tillsatser.</w:t>
      </w:r>
      <w:r w:rsidRPr="000E198B">
        <w:rPr>
          <w:lang w:val="is-IS"/>
        </w:rPr>
        <w:t xml:space="preserve"> VTI notat 54-1999. Väg och transportforskningsinstitutet, Linköping.</w:t>
      </w:r>
    </w:p>
    <w:p w14:paraId="33D08236" w14:textId="77777777" w:rsidR="00964178" w:rsidRPr="001C45E6" w:rsidRDefault="00964178" w:rsidP="00D15FAD">
      <w:pPr>
        <w:pStyle w:val="Heading1"/>
        <w:rPr>
          <w:lang w:val="is-IS"/>
        </w:rPr>
      </w:pPr>
      <w:bookmarkStart w:id="33" w:name="_Toc52974038"/>
      <w:r w:rsidRPr="001C45E6">
        <w:rPr>
          <w:lang w:val="is-IS"/>
        </w:rPr>
        <w:t>HEMLUNARVIÐNÁM</w:t>
      </w:r>
      <w:bookmarkEnd w:id="33"/>
    </w:p>
    <w:p w14:paraId="33D08237" w14:textId="77777777" w:rsidR="00964178" w:rsidRPr="009D45E9" w:rsidRDefault="00964178" w:rsidP="004D7B8A">
      <w:pPr>
        <w:jc w:val="both"/>
        <w:rPr>
          <w:sz w:val="24"/>
          <w:szCs w:val="24"/>
          <w:lang w:val="is-IS"/>
        </w:rPr>
      </w:pPr>
    </w:p>
    <w:p w14:paraId="33D08238" w14:textId="77777777" w:rsidR="00964178" w:rsidRDefault="00964178" w:rsidP="00964178">
      <w:pPr>
        <w:spacing w:after="60"/>
        <w:jc w:val="both"/>
        <w:rPr>
          <w:lang w:val="is-IS"/>
        </w:rPr>
      </w:pPr>
      <w:r>
        <w:rPr>
          <w:lang w:val="is-IS"/>
        </w:rPr>
        <w:t>Hemlunarviðnám er mikilvægur eiginleiki slitlags. En það getur tæpast talist stiki í malbiks</w:t>
      </w:r>
      <w:r>
        <w:rPr>
          <w:lang w:val="is-IS"/>
        </w:rPr>
        <w:softHyphen/>
        <w:t>hönnun, vegna þess að hönnunin ræður litlu um hemlunarviðnámið, ef hún fylgir settum reglum á annað borð. Þó má nefna tvö atriði sem beint eða óbeint hafa einhver áhrif á hemlunarviðnám.</w:t>
      </w:r>
    </w:p>
    <w:p w14:paraId="33D08239" w14:textId="7F0A5A64" w:rsidR="00964178" w:rsidRDefault="00964178" w:rsidP="00964178">
      <w:pPr>
        <w:spacing w:after="60"/>
        <w:ind w:left="513"/>
        <w:jc w:val="both"/>
        <w:rPr>
          <w:lang w:val="is-IS"/>
        </w:rPr>
      </w:pPr>
      <w:r w:rsidRPr="006B588C">
        <w:rPr>
          <w:i/>
          <w:lang w:val="is-IS"/>
        </w:rPr>
        <w:lastRenderedPageBreak/>
        <w:t>Bindiefnisinnihald.</w:t>
      </w:r>
      <w:r>
        <w:rPr>
          <w:lang w:val="is-IS"/>
        </w:rPr>
        <w:t xml:space="preserve"> Ef bindiefnisinnihald er of hátt miðað við holrýmd í steinefni (þ.e. ef holrýmd í malbiki er of lítil) getur farið svo að bindiefnið pressist upp úr slitlaginu, til dæmis í sumarhitum eða meðan á útlögn stendur og þá geta myndast feitir blettir með lágt hemlunarviðnám á yfirborði slitlagsins. Lágt bindiefnisinnihald er talið stuðla að betra hemlunarviðnámi og sé það of hátt er talið að umfram bindiefni muni fyrr eða síðar koma upp á yfirborðið </w:t>
      </w:r>
      <w:r w:rsidR="005A43DB">
        <w:rPr>
          <w:lang w:val="is-IS"/>
        </w:rPr>
        <w:t>[</w:t>
      </w:r>
      <w:r w:rsidR="001F0FB6">
        <w:rPr>
          <w:lang w:val="is-IS"/>
        </w:rPr>
        <w:t xml:space="preserve">Edwards 1983, </w:t>
      </w:r>
      <w:r>
        <w:rPr>
          <w:lang w:val="is-IS"/>
        </w:rPr>
        <w:t>bls. 1 og 6</w:t>
      </w:r>
      <w:r w:rsidR="005A43DB">
        <w:rPr>
          <w:lang w:val="is-IS"/>
        </w:rPr>
        <w:t>]</w:t>
      </w:r>
      <w:r>
        <w:rPr>
          <w:lang w:val="is-IS"/>
        </w:rPr>
        <w:t xml:space="preserve">. </w:t>
      </w:r>
    </w:p>
    <w:p w14:paraId="33D0823A" w14:textId="77777777" w:rsidR="00964178" w:rsidRPr="00AE1AF7" w:rsidRDefault="00843AB8" w:rsidP="00964178">
      <w:pPr>
        <w:spacing w:after="60"/>
        <w:ind w:left="513"/>
        <w:jc w:val="center"/>
        <w:rPr>
          <w:lang w:val="is-IS"/>
        </w:rPr>
      </w:pPr>
      <w:r w:rsidRPr="00AE1AF7">
        <w:rPr>
          <w:noProof/>
          <w:lang w:eastAsia="en-GB"/>
        </w:rPr>
        <w:drawing>
          <wp:inline distT="0" distB="0" distL="0" distR="0" wp14:anchorId="33D0828A" wp14:editId="33D0828B">
            <wp:extent cx="3157855" cy="2243455"/>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r="12556"/>
                    <a:stretch>
                      <a:fillRect/>
                    </a:stretch>
                  </pic:blipFill>
                  <pic:spPr bwMode="auto">
                    <a:xfrm>
                      <a:off x="0" y="0"/>
                      <a:ext cx="3157855" cy="2243455"/>
                    </a:xfrm>
                    <a:prstGeom prst="rect">
                      <a:avLst/>
                    </a:prstGeom>
                    <a:noFill/>
                    <a:ln>
                      <a:noFill/>
                    </a:ln>
                  </pic:spPr>
                </pic:pic>
              </a:graphicData>
            </a:graphic>
          </wp:inline>
        </w:drawing>
      </w:r>
    </w:p>
    <w:p w14:paraId="33D0823B" w14:textId="77777777" w:rsidR="00964178" w:rsidRPr="00DE570D" w:rsidRDefault="00964178" w:rsidP="004D7B8A">
      <w:pPr>
        <w:spacing w:after="60"/>
        <w:ind w:left="1881" w:right="1397"/>
        <w:jc w:val="both"/>
        <w:rPr>
          <w:b/>
          <w:sz w:val="20"/>
          <w:lang w:val="is-IS"/>
        </w:rPr>
      </w:pPr>
      <w:r w:rsidRPr="004F716B">
        <w:rPr>
          <w:b/>
          <w:sz w:val="20"/>
          <w:lang w:val="is-IS"/>
        </w:rPr>
        <w:t xml:space="preserve">Mynd 1. </w:t>
      </w:r>
      <w:r w:rsidRPr="004D7B8A">
        <w:rPr>
          <w:sz w:val="20"/>
          <w:lang w:val="is-IS"/>
        </w:rPr>
        <w:t>Dæmi um áhrif bindiefnisinnihalds og bindiefnis</w:t>
      </w:r>
      <w:r w:rsidR="004D7B8A">
        <w:rPr>
          <w:sz w:val="20"/>
          <w:lang w:val="is-IS"/>
        </w:rPr>
        <w:softHyphen/>
      </w:r>
      <w:r w:rsidRPr="004D7B8A">
        <w:rPr>
          <w:sz w:val="20"/>
          <w:lang w:val="is-IS"/>
        </w:rPr>
        <w:t>gerðar á hemlunarviðnám. Hemlunarviðnám mælt á blautu slitlagi við 50 km/klst.</w:t>
      </w:r>
    </w:p>
    <w:p w14:paraId="33D0823C" w14:textId="77777777" w:rsidR="00964178" w:rsidRDefault="00964178" w:rsidP="00964178">
      <w:pPr>
        <w:spacing w:after="60"/>
        <w:ind w:left="513"/>
        <w:jc w:val="both"/>
        <w:rPr>
          <w:lang w:val="is-IS"/>
        </w:rPr>
      </w:pPr>
    </w:p>
    <w:p w14:paraId="33D0823D" w14:textId="4B3AB726" w:rsidR="00964178" w:rsidRDefault="00964178" w:rsidP="00964178">
      <w:pPr>
        <w:spacing w:after="60"/>
        <w:ind w:left="513"/>
        <w:jc w:val="both"/>
        <w:rPr>
          <w:lang w:val="is-IS"/>
        </w:rPr>
      </w:pPr>
      <w:r>
        <w:rPr>
          <w:lang w:val="is-IS"/>
        </w:rPr>
        <w:t xml:space="preserve">Mynd 1 sýnir að tiltölulega lítil breyting (0,5%) í bindiefnisinnihaldi getur undir vissum kringumstæðum nægt til að breyta viðunandi hemlunarviðnámi í ófullnægjandi hemlunarviðnám </w:t>
      </w:r>
      <w:r w:rsidR="005A43DB">
        <w:rPr>
          <w:lang w:val="is-IS"/>
        </w:rPr>
        <w:t>[</w:t>
      </w:r>
      <w:r>
        <w:rPr>
          <w:lang w:val="is-IS"/>
        </w:rPr>
        <w:t>Slyngstad 1972, bls</w:t>
      </w:r>
      <w:r w:rsidR="005A43DB">
        <w:rPr>
          <w:lang w:val="is-IS"/>
        </w:rPr>
        <w:t>.</w:t>
      </w:r>
      <w:r>
        <w:rPr>
          <w:lang w:val="is-IS"/>
        </w:rPr>
        <w:t xml:space="preserve"> 7</w:t>
      </w:r>
      <w:r w:rsidR="005A43DB">
        <w:rPr>
          <w:lang w:val="is-IS"/>
        </w:rPr>
        <w:t>]</w:t>
      </w:r>
      <w:r>
        <w:rPr>
          <w:lang w:val="is-IS"/>
        </w:rPr>
        <w:t xml:space="preserve">. </w:t>
      </w:r>
    </w:p>
    <w:p w14:paraId="33D0823E" w14:textId="77777777" w:rsidR="00964178" w:rsidRDefault="00964178" w:rsidP="00964178">
      <w:pPr>
        <w:ind w:left="510"/>
        <w:jc w:val="both"/>
        <w:rPr>
          <w:lang w:val="is-IS"/>
        </w:rPr>
      </w:pPr>
      <w:r w:rsidRPr="00CE3EE5">
        <w:rPr>
          <w:i/>
          <w:lang w:val="is-IS"/>
        </w:rPr>
        <w:t>Yfirborðseiginleikar steinefna.</w:t>
      </w:r>
      <w:r>
        <w:rPr>
          <w:lang w:val="is-IS"/>
        </w:rPr>
        <w:t xml:space="preserve"> Sum steinefni hafa tilhneigingu til að fágast (</w:t>
      </w:r>
      <w:r w:rsidR="00172D7A">
        <w:rPr>
          <w:lang w:val="is-IS"/>
        </w:rPr>
        <w:t xml:space="preserve">e. </w:t>
      </w:r>
      <w:r>
        <w:rPr>
          <w:lang w:val="is-IS"/>
        </w:rPr>
        <w:t>polish) undir umferð einkum þau sem eru slitþolin. Þá getur hemlunarviðnámi orðið áfátt</w:t>
      </w:r>
      <w:r w:rsidRPr="004F56C0">
        <w:rPr>
          <w:lang w:val="is-IS"/>
        </w:rPr>
        <w:t xml:space="preserve"> </w:t>
      </w:r>
      <w:r>
        <w:rPr>
          <w:lang w:val="is-IS"/>
        </w:rPr>
        <w:t>vegna lítils núningsviðnáms milli hjólbarða og steinanna í yfirborði slitlagsins. Þetta á þó aðeins við ef slitlagið er blautt; hemlunarviðnám á þurru (og hreinu) malbiki er undir venjulegum kringum</w:t>
      </w:r>
      <w:r>
        <w:rPr>
          <w:lang w:val="is-IS"/>
        </w:rPr>
        <w:softHyphen/>
        <w:t xml:space="preserve">stæðum talið nægilegt </w:t>
      </w:r>
      <w:r w:rsidR="005A43DB">
        <w:rPr>
          <w:lang w:val="is-IS"/>
        </w:rPr>
        <w:t>[</w:t>
      </w:r>
      <w:r w:rsidRPr="004575C2">
        <w:rPr>
          <w:lang w:val="is-IS"/>
        </w:rPr>
        <w:t>Highways Agency 2007, bls</w:t>
      </w:r>
      <w:r w:rsidR="003E6693">
        <w:rPr>
          <w:lang w:val="is-IS"/>
        </w:rPr>
        <w:t>.</w:t>
      </w:r>
      <w:r w:rsidRPr="004575C2">
        <w:rPr>
          <w:lang w:val="is-IS"/>
        </w:rPr>
        <w:t xml:space="preserve"> 3/1</w:t>
      </w:r>
      <w:r w:rsidR="005A43DB">
        <w:rPr>
          <w:lang w:val="is-IS"/>
        </w:rPr>
        <w:t>]</w:t>
      </w:r>
      <w:r>
        <w:rPr>
          <w:lang w:val="is-IS"/>
        </w:rPr>
        <w:t>. Negldir hjólbarðar vinna gegn fágun steinefnisins.</w:t>
      </w:r>
    </w:p>
    <w:p w14:paraId="33D0823F" w14:textId="77777777" w:rsidR="00964178" w:rsidRDefault="00964178" w:rsidP="00964178">
      <w:pPr>
        <w:ind w:left="510" w:firstLine="340"/>
        <w:jc w:val="both"/>
        <w:rPr>
          <w:lang w:val="is-IS"/>
        </w:rPr>
      </w:pPr>
      <w:r>
        <w:rPr>
          <w:lang w:val="is-IS"/>
        </w:rPr>
        <w:t>Ef umferðarhraðinn er lítill hefur fágunin afgerandi áhrif á hemlunarviðnámið. Sé yfirborð slitlagsins nægilega grófgert til að veita burtu vatni, sem verður á milli hjólbarða og slitlags, og steinefnið hrjúft, helst hemlunarviðnámið mikið til óbreytt með auknum hraða. Ef yfirborð vegarins er tiltölulega slétt og hraðinn mikill, getur myndast vatnspúði milli hjólbarða og slitlags. Þá er hætta á að bíll</w:t>
      </w:r>
      <w:r w:rsidR="005A43DB">
        <w:rPr>
          <w:lang w:val="is-IS"/>
        </w:rPr>
        <w:t xml:space="preserve"> </w:t>
      </w:r>
      <w:r>
        <w:rPr>
          <w:lang w:val="is-IS"/>
        </w:rPr>
        <w:t xml:space="preserve">á miklum hraða fljóti upp og skiptir þá litlu máli hvort steinefnið er hrjúft eða fágað. </w:t>
      </w:r>
    </w:p>
    <w:p w14:paraId="33D08240" w14:textId="22E14ED3" w:rsidR="00964178" w:rsidRPr="00C24755" w:rsidRDefault="00964178" w:rsidP="00964178">
      <w:pPr>
        <w:spacing w:after="60"/>
        <w:ind w:left="513" w:firstLine="342"/>
        <w:jc w:val="both"/>
        <w:rPr>
          <w:color w:val="FF0000"/>
          <w:lang w:val="is-IS"/>
        </w:rPr>
      </w:pPr>
      <w:r>
        <w:rPr>
          <w:lang w:val="is-IS"/>
        </w:rPr>
        <w:t>Hemlunarviðnámsins vegna er æskilegt að steinefni í malbik hafi góða mótstöðu gegn fágun og að hlutfall salla og mulnings upp að 1</w:t>
      </w:r>
      <w:r w:rsidR="0088527E">
        <w:rPr>
          <w:lang w:val="is-IS"/>
        </w:rPr>
        <w:t>1 eða 16</w:t>
      </w:r>
      <w:r>
        <w:rPr>
          <w:lang w:val="is-IS"/>
        </w:rPr>
        <w:t xml:space="preserve"> mm sé hátt. Mjög gróft steinefni sem fágast er óheppilegt, því þá geta myndast fágaðir kollar í yfirborði malbiksins með lág</w:t>
      </w:r>
      <w:r w:rsidR="005A43DB">
        <w:rPr>
          <w:lang w:val="is-IS"/>
        </w:rPr>
        <w:t>t hemlunarviðnám [</w:t>
      </w:r>
      <w:r>
        <w:rPr>
          <w:lang w:val="is-IS"/>
        </w:rPr>
        <w:t>Slyngstad 1972, bls</w:t>
      </w:r>
      <w:r w:rsidR="005A43DB">
        <w:rPr>
          <w:lang w:val="is-IS"/>
        </w:rPr>
        <w:t>.</w:t>
      </w:r>
      <w:r>
        <w:rPr>
          <w:lang w:val="is-IS"/>
        </w:rPr>
        <w:t xml:space="preserve"> 5-7</w:t>
      </w:r>
      <w:r w:rsidR="005A43DB">
        <w:rPr>
          <w:lang w:val="is-IS"/>
        </w:rPr>
        <w:t>]</w:t>
      </w:r>
      <w:r>
        <w:rPr>
          <w:lang w:val="is-IS"/>
        </w:rPr>
        <w:t>.</w:t>
      </w:r>
      <w:r w:rsidRPr="005038F1">
        <w:rPr>
          <w:lang w:val="is-IS"/>
        </w:rPr>
        <w:t xml:space="preserve"> </w:t>
      </w:r>
    </w:p>
    <w:p w14:paraId="33D08241" w14:textId="67E6E169" w:rsidR="00964178" w:rsidRDefault="00964178" w:rsidP="00964178">
      <w:pPr>
        <w:jc w:val="both"/>
        <w:rPr>
          <w:lang w:val="is-IS"/>
        </w:rPr>
      </w:pPr>
      <w:r>
        <w:rPr>
          <w:lang w:val="is-IS"/>
        </w:rPr>
        <w:t xml:space="preserve">Í </w:t>
      </w:r>
      <w:r w:rsidR="0088527E">
        <w:rPr>
          <w:lang w:val="is-IS"/>
        </w:rPr>
        <w:t xml:space="preserve">Efnisgæðariti </w:t>
      </w:r>
      <w:r>
        <w:rPr>
          <w:lang w:val="is-IS"/>
        </w:rPr>
        <w:t>Vegagerðarinnar</w:t>
      </w:r>
      <w:r w:rsidRPr="00DA34A1">
        <w:rPr>
          <w:sz w:val="24"/>
          <w:szCs w:val="24"/>
          <w:lang w:val="is-IS"/>
        </w:rPr>
        <w:t xml:space="preserve"> </w:t>
      </w:r>
      <w:r>
        <w:rPr>
          <w:lang w:val="is-IS"/>
        </w:rPr>
        <w:t xml:space="preserve">er </w:t>
      </w:r>
      <w:r w:rsidR="0088527E">
        <w:rPr>
          <w:lang w:val="is-IS"/>
        </w:rPr>
        <w:t>gerð sú krafa</w:t>
      </w:r>
      <w:r>
        <w:rPr>
          <w:lang w:val="is-IS"/>
        </w:rPr>
        <w:t xml:space="preserve"> </w:t>
      </w:r>
      <w:r w:rsidR="0088527E">
        <w:rPr>
          <w:lang w:val="is-IS"/>
        </w:rPr>
        <w:t xml:space="preserve">að </w:t>
      </w:r>
      <w:r>
        <w:rPr>
          <w:lang w:val="is-IS"/>
        </w:rPr>
        <w:t>hemlunarviðnám</w:t>
      </w:r>
      <w:r w:rsidR="0088527E">
        <w:rPr>
          <w:lang w:val="is-IS"/>
        </w:rPr>
        <w:t xml:space="preserve"> eigi að mæla á feitum blettum á m</w:t>
      </w:r>
      <w:r w:rsidR="00FB7F2C">
        <w:rPr>
          <w:lang w:val="is-IS"/>
        </w:rPr>
        <w:t>albiki þar sem umferðarhraði er</w:t>
      </w:r>
      <w:r w:rsidR="00624784" w:rsidRPr="00AF67C6">
        <w:rPr>
          <w:i/>
          <w:szCs w:val="22"/>
        </w:rPr>
        <w:t xml:space="preserve"> ≥ </w:t>
      </w:r>
      <w:r w:rsidR="00624784" w:rsidRPr="00624784">
        <w:rPr>
          <w:szCs w:val="22"/>
        </w:rPr>
        <w:t>50 km/klst og</w:t>
      </w:r>
      <w:r w:rsidR="0088527E" w:rsidRPr="00624784">
        <w:rPr>
          <w:lang w:val="is-IS"/>
        </w:rPr>
        <w:t xml:space="preserve"> að</w:t>
      </w:r>
      <w:r w:rsidR="0088527E">
        <w:rPr>
          <w:lang w:val="is-IS"/>
        </w:rPr>
        <w:t xml:space="preserve"> </w:t>
      </w:r>
      <w:r w:rsidR="00624784">
        <w:rPr>
          <w:lang w:val="is-IS"/>
        </w:rPr>
        <w:t>viðnámið</w:t>
      </w:r>
      <w:r w:rsidR="0088527E">
        <w:rPr>
          <w:lang w:val="is-IS"/>
        </w:rPr>
        <w:t xml:space="preserve"> skuli vera</w:t>
      </w:r>
      <w:r w:rsidR="00624784">
        <w:rPr>
          <w:lang w:val="is-IS"/>
        </w:rPr>
        <w:t xml:space="preserve"> &gt; 0,4 upp að leyfðum hraða 80 km/klst og &gt; 0,5 þar sem leyfður hraði er meiri</w:t>
      </w:r>
      <w:r>
        <w:rPr>
          <w:lang w:val="is-IS"/>
        </w:rPr>
        <w:t xml:space="preserve">. </w:t>
      </w:r>
    </w:p>
    <w:p w14:paraId="33D08242" w14:textId="1F626053" w:rsidR="00964178" w:rsidRDefault="00964178" w:rsidP="00964178">
      <w:pPr>
        <w:ind w:firstLine="340"/>
        <w:jc w:val="both"/>
        <w:rPr>
          <w:lang w:val="is-IS"/>
        </w:rPr>
      </w:pPr>
      <w:r>
        <w:rPr>
          <w:lang w:val="is-IS"/>
        </w:rPr>
        <w:t xml:space="preserve">Í norskum verklýsingum </w:t>
      </w:r>
      <w:r w:rsidR="005A43DB">
        <w:rPr>
          <w:lang w:val="is-IS"/>
        </w:rPr>
        <w:t>[</w:t>
      </w:r>
      <w:r>
        <w:rPr>
          <w:lang w:val="is-IS"/>
        </w:rPr>
        <w:t>Statens vegvesen</w:t>
      </w:r>
      <w:r w:rsidRPr="006E1857">
        <w:rPr>
          <w:lang w:val="is-IS"/>
        </w:rPr>
        <w:t xml:space="preserve"> 2005</w:t>
      </w:r>
      <w:r>
        <w:rPr>
          <w:lang w:val="is-IS"/>
        </w:rPr>
        <w:t>, bls. 272</w:t>
      </w:r>
      <w:r w:rsidR="005A43DB">
        <w:rPr>
          <w:lang w:val="is-IS"/>
        </w:rPr>
        <w:t>]</w:t>
      </w:r>
      <w:r>
        <w:rPr>
          <w:lang w:val="is-IS"/>
        </w:rPr>
        <w:t xml:space="preserve"> er gerð krafa um að hemlunarviðnám, mælt á blautu slitlagi á hraðanum 60 km/klst, skuli minnst vera 0,4. Auk þess er gerð krafa um að viðnámsstuðullinn skuli (á auðum vegi) vera hærri en 0,5 ef leyfður umferðarhraði er meiri en 80 km/klst. Kröfurnar eru ekki tengdar hönnun á malbiki.</w:t>
      </w:r>
    </w:p>
    <w:p w14:paraId="33D08243" w14:textId="77777777" w:rsidR="00964178" w:rsidRDefault="001F0FB6" w:rsidP="00964178">
      <w:pPr>
        <w:ind w:firstLine="340"/>
        <w:jc w:val="both"/>
        <w:rPr>
          <w:lang w:val="is-IS"/>
        </w:rPr>
      </w:pPr>
      <w:r>
        <w:rPr>
          <w:lang w:val="is-IS"/>
        </w:rPr>
        <w:t xml:space="preserve">Í sænskum verklýsingum </w:t>
      </w:r>
      <w:r w:rsidR="00964178">
        <w:rPr>
          <w:lang w:val="is-IS"/>
        </w:rPr>
        <w:t>eru engar kröfur um hemlunarviðnám</w:t>
      </w:r>
      <w:r w:rsidR="00964178" w:rsidRPr="00AE325D">
        <w:rPr>
          <w:lang w:val="is-IS"/>
        </w:rPr>
        <w:t xml:space="preserve"> </w:t>
      </w:r>
      <w:r w:rsidR="00964178">
        <w:rPr>
          <w:lang w:val="is-IS"/>
        </w:rPr>
        <w:t xml:space="preserve">tengdar hönnun á malbiki. Þar eru hins vegar skilakröfur </w:t>
      </w:r>
      <w:r w:rsidR="005A43DB">
        <w:rPr>
          <w:lang w:val="is-IS"/>
        </w:rPr>
        <w:t>[</w:t>
      </w:r>
      <w:r w:rsidR="00964178" w:rsidRPr="006E1857">
        <w:rPr>
          <w:szCs w:val="22"/>
          <w:lang w:val="is-IS"/>
        </w:rPr>
        <w:t>Vägverket 2005</w:t>
      </w:r>
      <w:r w:rsidR="00964178">
        <w:rPr>
          <w:szCs w:val="22"/>
          <w:lang w:val="is-IS"/>
        </w:rPr>
        <w:t>, bls</w:t>
      </w:r>
      <w:r w:rsidR="00964178" w:rsidRPr="006E1857">
        <w:rPr>
          <w:szCs w:val="22"/>
          <w:lang w:val="is-IS"/>
        </w:rPr>
        <w:t xml:space="preserve">. </w:t>
      </w:r>
      <w:r w:rsidR="00964178">
        <w:rPr>
          <w:szCs w:val="22"/>
          <w:lang w:val="is-IS"/>
        </w:rPr>
        <w:t>8</w:t>
      </w:r>
      <w:r w:rsidR="005A43DB">
        <w:rPr>
          <w:szCs w:val="22"/>
          <w:lang w:val="is-IS"/>
        </w:rPr>
        <w:t>]</w:t>
      </w:r>
      <w:r w:rsidR="00964178">
        <w:rPr>
          <w:szCs w:val="22"/>
          <w:lang w:val="is-IS"/>
        </w:rPr>
        <w:t xml:space="preserve"> og samkvæmt þeim</w:t>
      </w:r>
      <w:r w:rsidR="00964178">
        <w:rPr>
          <w:lang w:val="is-IS"/>
        </w:rPr>
        <w:t xml:space="preserve"> skal meðaltal viðnámsstuðuls á hverjum mældum 20 m kafla á auðu slitlagi vera minnst 0,5.</w:t>
      </w:r>
    </w:p>
    <w:p w14:paraId="33D08244" w14:textId="77777777" w:rsidR="00964178" w:rsidRDefault="00964178" w:rsidP="00964178">
      <w:pPr>
        <w:ind w:firstLine="340"/>
        <w:jc w:val="both"/>
        <w:rPr>
          <w:lang w:val="is-IS"/>
        </w:rPr>
      </w:pPr>
      <w:r>
        <w:rPr>
          <w:lang w:val="is-IS"/>
        </w:rPr>
        <w:lastRenderedPageBreak/>
        <w:t xml:space="preserve">Í finnskum verklýsingum </w:t>
      </w:r>
      <w:r w:rsidR="005A43DB">
        <w:rPr>
          <w:lang w:val="is-IS"/>
        </w:rPr>
        <w:t>[</w:t>
      </w:r>
      <w:r>
        <w:rPr>
          <w:lang w:val="is-IS"/>
        </w:rPr>
        <w:t>PANK 2000, bls. 67</w:t>
      </w:r>
      <w:r w:rsidR="005A43DB">
        <w:rPr>
          <w:lang w:val="is-IS"/>
        </w:rPr>
        <w:t>]</w:t>
      </w:r>
      <w:r>
        <w:rPr>
          <w:lang w:val="is-IS"/>
        </w:rPr>
        <w:t xml:space="preserve"> eru gerðar kröfur til hemlunarviðnáms á nýju slitlagi sem skal mælt innan tveggja vikna frá útlögn. Kröfurnar eru mismunandi eftir leyfðum umferðarhraða. Ef hann er ≤ 80 km/klst skal viðnámsstuðullinn vera minnst 0,4, minnst 0,5 ef leyfður hámarkshraði er 100 km/klst og minnst 0,6 ef hámarkshraðinn er 120 km/klst. Í áðurgreindri heimild er ekkert tekið fram um aðstæður þegar mælingin er gerð, en í uppkasti að skýrslu frá Norræna vegtæknisambandinu </w:t>
      </w:r>
      <w:r w:rsidR="005A43DB">
        <w:rPr>
          <w:lang w:val="is-IS"/>
        </w:rPr>
        <w:t>[</w:t>
      </w:r>
      <w:r>
        <w:rPr>
          <w:lang w:val="is-IS"/>
        </w:rPr>
        <w:t>NVF 2004</w:t>
      </w:r>
      <w:r w:rsidR="005A43DB">
        <w:rPr>
          <w:lang w:val="is-IS"/>
        </w:rPr>
        <w:t>]</w:t>
      </w:r>
      <w:r>
        <w:rPr>
          <w:lang w:val="is-IS"/>
        </w:rPr>
        <w:t xml:space="preserve"> er tekið fram að mælingar á hemlunarviðnámi skuli gerðar á hraðanum 60 km/klst og á blautu slitlagi. Kröfurnar eru heldur ekki tengdar hönnun á malbiki.</w:t>
      </w:r>
    </w:p>
    <w:p w14:paraId="33D08245" w14:textId="1CCBE265" w:rsidR="00964178" w:rsidRDefault="00964178" w:rsidP="00964178">
      <w:pPr>
        <w:ind w:firstLine="340"/>
        <w:jc w:val="both"/>
        <w:rPr>
          <w:lang w:val="is-IS"/>
        </w:rPr>
      </w:pPr>
      <w:r>
        <w:rPr>
          <w:lang w:val="is-IS"/>
        </w:rPr>
        <w:t>Meðan negldir hjólbarðar eru notaðir jafn mikið og nú er er ósennilegt að hemlunarviðnám sé of lítið, nema á tímabilinu frá því að slitlagið er lagt og þar til nagladekkin hafa hreinsað bindiefnisslikju og feita bletti af yfirborðinu. Þó er rétt að taka fram að í Noregi hefur mælst fágun á slitlögum yfir sumartímann sem nemur um 0,2 einingum í hemlunar</w:t>
      </w:r>
      <w:r>
        <w:rPr>
          <w:lang w:val="is-IS"/>
        </w:rPr>
        <w:softHyphen/>
        <w:t xml:space="preserve">viðnámi </w:t>
      </w:r>
      <w:r w:rsidR="005A43DB">
        <w:rPr>
          <w:lang w:val="is-IS"/>
        </w:rPr>
        <w:t>[</w:t>
      </w:r>
      <w:r>
        <w:rPr>
          <w:lang w:val="is-IS"/>
        </w:rPr>
        <w:t>Horvli 2006, bls. 16</w:t>
      </w:r>
      <w:r w:rsidR="005A43DB">
        <w:rPr>
          <w:lang w:val="is-IS"/>
        </w:rPr>
        <w:t>]</w:t>
      </w:r>
      <w:r>
        <w:rPr>
          <w:lang w:val="is-IS"/>
        </w:rPr>
        <w:t xml:space="preserve">. En fari svo að verulega dragi úr notkun negldra hjólbarða, getur hemlunarviðnám breyst til hins verra á íslenskum slitlögum. </w:t>
      </w:r>
    </w:p>
    <w:p w14:paraId="33D08246" w14:textId="599CC85B" w:rsidR="00964178" w:rsidRDefault="00624784" w:rsidP="00E57041">
      <w:pPr>
        <w:ind w:firstLine="340"/>
        <w:jc w:val="both"/>
        <w:rPr>
          <w:lang w:val="is-IS"/>
        </w:rPr>
      </w:pPr>
      <w:r>
        <w:rPr>
          <w:lang w:val="is-IS"/>
        </w:rPr>
        <w:t xml:space="preserve">Íslenskar, </w:t>
      </w:r>
      <w:r w:rsidR="00964178">
        <w:rPr>
          <w:lang w:val="is-IS"/>
        </w:rPr>
        <w:t>Finnskar, norskar og sænskar kröfur til hemlunarviðnáms er</w:t>
      </w:r>
      <w:r>
        <w:rPr>
          <w:lang w:val="is-IS"/>
        </w:rPr>
        <w:t>u</w:t>
      </w:r>
      <w:r w:rsidR="00964178">
        <w:rPr>
          <w:lang w:val="is-IS"/>
        </w:rPr>
        <w:t xml:space="preserve"> áþekkar hvað viðnámsstuðulinn snertir. Sænsku kröfurnar taka að auki fram að hemlunarviðnám skuli að meðaltali ná lágmarksgildi fyrir hverja 20 m. Það sýnist vera skynsamlegt, enda er 20 m flugháll blettur sennilega alveg nægilega langur til að missa stjórn á bíl.</w:t>
      </w:r>
      <w:r w:rsidR="00964178" w:rsidRPr="0087464F">
        <w:rPr>
          <w:lang w:val="is-IS"/>
        </w:rPr>
        <w:t xml:space="preserve"> </w:t>
      </w:r>
    </w:p>
    <w:p w14:paraId="33D08247" w14:textId="77777777" w:rsidR="00964178" w:rsidRDefault="00964178" w:rsidP="00964178">
      <w:pPr>
        <w:spacing w:after="60"/>
        <w:jc w:val="both"/>
        <w:rPr>
          <w:lang w:val="is-IS"/>
        </w:rPr>
      </w:pPr>
      <w:r>
        <w:rPr>
          <w:lang w:val="is-IS"/>
        </w:rPr>
        <w:t xml:space="preserve">  </w:t>
      </w:r>
    </w:p>
    <w:p w14:paraId="33D08248" w14:textId="77777777" w:rsidR="00B01C2B" w:rsidRPr="00866461" w:rsidRDefault="00B01C2B" w:rsidP="00B01C2B">
      <w:pPr>
        <w:ind w:firstLine="340"/>
        <w:jc w:val="both"/>
        <w:rPr>
          <w:b/>
          <w:color w:val="FF0000"/>
          <w:lang w:val="is-IS"/>
        </w:rPr>
      </w:pPr>
      <w:r w:rsidRPr="00866461">
        <w:rPr>
          <w:b/>
          <w:color w:val="FF0000"/>
          <w:lang w:val="is-IS"/>
        </w:rPr>
        <w:t>ATHUGASEMD RITSTJÓRNAR Í JANÚAR 2020</w:t>
      </w:r>
    </w:p>
    <w:p w14:paraId="33D08249" w14:textId="77777777" w:rsidR="00B01C2B" w:rsidRPr="00866461" w:rsidRDefault="00B01C2B" w:rsidP="00B01C2B">
      <w:pPr>
        <w:spacing w:after="60"/>
        <w:jc w:val="both"/>
        <w:rPr>
          <w:color w:val="FF0000"/>
          <w:lang w:val="is-IS"/>
        </w:rPr>
      </w:pPr>
      <w:r w:rsidRPr="00866461">
        <w:rPr>
          <w:color w:val="FF0000"/>
        </w:rPr>
        <w:t>Þessi kafli fær að halda sér að mestu leyti, nema umfjöllun um Alverk ´95 er tekin út og einnig að ekki séu gerðar kröfur í verklýsingum Vegagerðarinnar. Þær eru settar fram í Efnisgæðaritinu</w:t>
      </w:r>
      <w:r w:rsidR="00B15AC3" w:rsidRPr="00866461">
        <w:rPr>
          <w:color w:val="FF0000"/>
        </w:rPr>
        <w:t xml:space="preserve"> og eru settar inn í textann hér að ofan</w:t>
      </w:r>
      <w:r w:rsidRPr="00866461">
        <w:rPr>
          <w:color w:val="FF0000"/>
        </w:rPr>
        <w:t>.</w:t>
      </w:r>
    </w:p>
    <w:p w14:paraId="33D0824A" w14:textId="77777777" w:rsidR="00964178" w:rsidRPr="00866461" w:rsidRDefault="00964178" w:rsidP="00964178">
      <w:pPr>
        <w:spacing w:after="60"/>
        <w:jc w:val="both"/>
        <w:rPr>
          <w:color w:val="FF0000"/>
          <w:lang w:val="is-IS"/>
        </w:rPr>
      </w:pPr>
    </w:p>
    <w:p w14:paraId="33D0824B" w14:textId="77777777" w:rsidR="00964178" w:rsidRPr="00E57041" w:rsidRDefault="00964178" w:rsidP="00E57041">
      <w:pPr>
        <w:spacing w:after="60"/>
        <w:rPr>
          <w:b/>
          <w:sz w:val="24"/>
          <w:szCs w:val="24"/>
          <w:lang w:val="is-IS"/>
        </w:rPr>
      </w:pPr>
      <w:r w:rsidRPr="00E57041">
        <w:rPr>
          <w:b/>
          <w:sz w:val="24"/>
          <w:szCs w:val="24"/>
          <w:lang w:val="is-IS"/>
        </w:rPr>
        <w:t>HEIMILDIR</w:t>
      </w:r>
    </w:p>
    <w:p w14:paraId="33D0824C" w14:textId="77777777" w:rsidR="00964178" w:rsidRPr="00955B13" w:rsidRDefault="00964178" w:rsidP="00964178">
      <w:pPr>
        <w:ind w:left="513" w:hanging="513"/>
        <w:jc w:val="both"/>
        <w:rPr>
          <w:szCs w:val="22"/>
          <w:lang w:val="is-IS"/>
        </w:rPr>
      </w:pPr>
      <w:r w:rsidRPr="00955B13">
        <w:rPr>
          <w:szCs w:val="22"/>
          <w:lang w:val="is-IS"/>
        </w:rPr>
        <w:t xml:space="preserve">Alverk ´95. 1995. </w:t>
      </w:r>
      <w:r w:rsidRPr="00955B13">
        <w:rPr>
          <w:i/>
          <w:szCs w:val="22"/>
          <w:lang w:val="is-IS"/>
        </w:rPr>
        <w:t>Almenn verklýsing fyrir vega og brúargerð.</w:t>
      </w:r>
      <w:r w:rsidRPr="00955B13">
        <w:rPr>
          <w:szCs w:val="22"/>
          <w:lang w:val="is-IS"/>
        </w:rPr>
        <w:t xml:space="preserve"> Vegagerðin, Reykjavík.</w:t>
      </w:r>
    </w:p>
    <w:p w14:paraId="33D0824D" w14:textId="77777777" w:rsidR="00964178" w:rsidRDefault="00964178" w:rsidP="00964178">
      <w:pPr>
        <w:ind w:left="340" w:hanging="340"/>
        <w:jc w:val="both"/>
        <w:rPr>
          <w:szCs w:val="22"/>
          <w:lang w:val="is-IS"/>
        </w:rPr>
      </w:pPr>
      <w:r>
        <w:rPr>
          <w:szCs w:val="22"/>
          <w:lang w:val="is-IS"/>
        </w:rPr>
        <w:t xml:space="preserve">Edwards, John M. 1983. </w:t>
      </w:r>
      <w:r w:rsidRPr="008652EB">
        <w:rPr>
          <w:i/>
          <w:szCs w:val="22"/>
          <w:lang w:val="is-IS"/>
        </w:rPr>
        <w:t>Design of Bitume</w:t>
      </w:r>
      <w:r>
        <w:rPr>
          <w:i/>
          <w:szCs w:val="22"/>
          <w:lang w:val="is-IS"/>
        </w:rPr>
        <w:t>n</w:t>
      </w:r>
      <w:r w:rsidRPr="008652EB">
        <w:rPr>
          <w:i/>
          <w:szCs w:val="22"/>
          <w:lang w:val="is-IS"/>
        </w:rPr>
        <w:t>–Aggregate Mixtures.</w:t>
      </w:r>
      <w:r>
        <w:rPr>
          <w:szCs w:val="22"/>
          <w:lang w:val="is-IS"/>
        </w:rPr>
        <w:t xml:space="preserve"> Residential Course in Flexible Pavements and Bituminous Materials, Lecture H. University of Newcastle upon Tyne, Department of Civil Engineering, Division of Transport Engineering. </w:t>
      </w:r>
    </w:p>
    <w:p w14:paraId="33D0824E" w14:textId="77777777" w:rsidR="00964178" w:rsidRDefault="00964178" w:rsidP="00964178">
      <w:pPr>
        <w:ind w:left="342" w:hanging="342"/>
        <w:jc w:val="both"/>
      </w:pPr>
      <w:r>
        <w:rPr>
          <w:szCs w:val="22"/>
          <w:lang w:val="is-IS"/>
        </w:rPr>
        <w:t xml:space="preserve">Highways Agency. 2007. </w:t>
      </w:r>
      <w:r w:rsidRPr="00955B13">
        <w:rPr>
          <w:i/>
          <w:szCs w:val="22"/>
          <w:lang w:val="is-IS"/>
        </w:rPr>
        <w:t>Design Manual for Roads and Bridges.</w:t>
      </w:r>
      <w:r>
        <w:rPr>
          <w:szCs w:val="22"/>
          <w:lang w:val="is-IS"/>
        </w:rPr>
        <w:t xml:space="preserve"> Surfacing Materials for New and Maintenance Construction. Volume 7, Section 5.</w:t>
      </w:r>
      <w:r w:rsidRPr="00F40728">
        <w:t xml:space="preserve"> </w:t>
      </w:r>
      <w:hyperlink r:id="rId17" w:history="1">
        <w:r w:rsidRPr="005D154B">
          <w:rPr>
            <w:rStyle w:val="Hyperlink"/>
          </w:rPr>
          <w:t>http://www.standardsforhighways.co.uk/dmrb/vol7/section5/hd3606.pdf</w:t>
        </w:r>
      </w:hyperlink>
      <w:r>
        <w:t xml:space="preserve"> </w:t>
      </w:r>
    </w:p>
    <w:p w14:paraId="33D0824F" w14:textId="77777777" w:rsidR="00964178" w:rsidRDefault="00964178" w:rsidP="00964178">
      <w:pPr>
        <w:ind w:left="340" w:hanging="340"/>
        <w:jc w:val="both"/>
        <w:rPr>
          <w:szCs w:val="22"/>
          <w:lang w:val="is-IS"/>
        </w:rPr>
      </w:pPr>
      <w:r>
        <w:rPr>
          <w:szCs w:val="22"/>
          <w:lang w:val="is-IS"/>
        </w:rPr>
        <w:t xml:space="preserve">Horvli, I., </w:t>
      </w:r>
      <w:r w:rsidR="00183D3E">
        <w:rPr>
          <w:szCs w:val="22"/>
          <w:lang w:val="is-IS"/>
        </w:rPr>
        <w:t xml:space="preserve">E. </w:t>
      </w:r>
      <w:r>
        <w:rPr>
          <w:szCs w:val="22"/>
          <w:lang w:val="is-IS"/>
        </w:rPr>
        <w:t>Værnes</w:t>
      </w:r>
      <w:r w:rsidR="00183D3E">
        <w:rPr>
          <w:szCs w:val="22"/>
          <w:lang w:val="is-IS"/>
        </w:rPr>
        <w:t>.</w:t>
      </w:r>
      <w:r>
        <w:rPr>
          <w:szCs w:val="22"/>
          <w:lang w:val="is-IS"/>
        </w:rPr>
        <w:t xml:space="preserve"> 2006. SIV – </w:t>
      </w:r>
      <w:r w:rsidRPr="00842100">
        <w:rPr>
          <w:i/>
          <w:szCs w:val="22"/>
          <w:lang w:val="is-IS"/>
        </w:rPr>
        <w:t>Steinkvalitet og sporutvikling i vegdekker. Oppsummer</w:t>
      </w:r>
      <w:r w:rsidRPr="00842100">
        <w:rPr>
          <w:i/>
          <w:szCs w:val="22"/>
          <w:lang w:val="is-IS"/>
        </w:rPr>
        <w:softHyphen/>
        <w:t>ingsrapport.</w:t>
      </w:r>
      <w:r>
        <w:rPr>
          <w:szCs w:val="22"/>
          <w:lang w:val="is-IS"/>
        </w:rPr>
        <w:t xml:space="preserve"> SINTEF Byggforsk AS. Veg- og jernbaneteknikk. Trondheim. </w:t>
      </w:r>
    </w:p>
    <w:p w14:paraId="33D08250" w14:textId="6EBF3155" w:rsidR="00964178" w:rsidRDefault="00964178" w:rsidP="00964178">
      <w:pPr>
        <w:ind w:left="342" w:hanging="342"/>
        <w:jc w:val="both"/>
        <w:rPr>
          <w:lang w:val="is-IS"/>
        </w:rPr>
      </w:pPr>
      <w:r>
        <w:rPr>
          <w:lang w:val="is-IS"/>
        </w:rPr>
        <w:t xml:space="preserve">NVF. 2004. </w:t>
      </w:r>
      <w:r w:rsidRPr="00463BCF">
        <w:rPr>
          <w:i/>
          <w:lang w:val="is-IS"/>
        </w:rPr>
        <w:t>Asfaltbelegningers overflateegenskaper – Friksjon.</w:t>
      </w:r>
      <w:r>
        <w:rPr>
          <w:lang w:val="is-IS"/>
        </w:rPr>
        <w:t xml:space="preserve"> Nordisk Vegteknisk Forbund. Den Norske Avdeling Utvalg 33 Asfaltbelegninger. (Uppkast að óútgefinni skýrslu, án blaðsíðutals).</w:t>
      </w:r>
    </w:p>
    <w:p w14:paraId="33D08251" w14:textId="77777777" w:rsidR="00964178" w:rsidRDefault="00964178" w:rsidP="00964178">
      <w:pPr>
        <w:ind w:left="342" w:hanging="342"/>
        <w:jc w:val="both"/>
        <w:rPr>
          <w:lang w:val="is-IS"/>
        </w:rPr>
      </w:pPr>
      <w:r w:rsidRPr="006E1857">
        <w:rPr>
          <w:lang w:val="is-IS"/>
        </w:rPr>
        <w:t xml:space="preserve">PANK. </w:t>
      </w:r>
      <w:r>
        <w:rPr>
          <w:lang w:val="is-IS"/>
        </w:rPr>
        <w:t>2000</w:t>
      </w:r>
      <w:r w:rsidRPr="006E1857">
        <w:rPr>
          <w:lang w:val="is-IS"/>
        </w:rPr>
        <w:t xml:space="preserve">. </w:t>
      </w:r>
      <w:r w:rsidRPr="006E1857">
        <w:rPr>
          <w:i/>
          <w:lang w:val="is-IS"/>
        </w:rPr>
        <w:t xml:space="preserve">Finnish Asphalt Specifications </w:t>
      </w:r>
      <w:r>
        <w:rPr>
          <w:i/>
          <w:lang w:val="is-IS"/>
        </w:rPr>
        <w:t>2000</w:t>
      </w:r>
      <w:r w:rsidRPr="006E1857">
        <w:rPr>
          <w:i/>
          <w:lang w:val="is-IS"/>
        </w:rPr>
        <w:t>.</w:t>
      </w:r>
      <w:r w:rsidRPr="006E1857">
        <w:rPr>
          <w:lang w:val="is-IS"/>
        </w:rPr>
        <w:t xml:space="preserve"> Finnish Pavement Technology Advisory Council. Helsinki.</w:t>
      </w:r>
    </w:p>
    <w:p w14:paraId="33D08252" w14:textId="77777777" w:rsidR="00964178" w:rsidRDefault="00964178" w:rsidP="00964178">
      <w:pPr>
        <w:ind w:left="342" w:hanging="342"/>
        <w:jc w:val="both"/>
        <w:rPr>
          <w:lang w:val="is-IS"/>
        </w:rPr>
      </w:pPr>
      <w:r>
        <w:rPr>
          <w:lang w:val="is-IS"/>
        </w:rPr>
        <w:t xml:space="preserve">Slyngstad, T. 1972. </w:t>
      </w:r>
      <w:r w:rsidRPr="0026721D">
        <w:rPr>
          <w:i/>
          <w:lang w:val="is-IS"/>
        </w:rPr>
        <w:t>Friksjon.</w:t>
      </w:r>
      <w:r>
        <w:rPr>
          <w:lang w:val="is-IS"/>
        </w:rPr>
        <w:t xml:space="preserve"> Internt notat for særkurset. Institutt for veg- og jernbanebygging. Norges tekniske høgskole, Trondheim.</w:t>
      </w:r>
    </w:p>
    <w:p w14:paraId="33D08253" w14:textId="77777777" w:rsidR="00964178" w:rsidRPr="006E1857" w:rsidRDefault="00964178" w:rsidP="00964178">
      <w:pPr>
        <w:ind w:left="342" w:hanging="342"/>
        <w:jc w:val="both"/>
        <w:rPr>
          <w:lang w:val="is-IS"/>
        </w:rPr>
      </w:pPr>
      <w:r w:rsidRPr="006E1857">
        <w:rPr>
          <w:lang w:val="is-IS"/>
        </w:rPr>
        <w:t xml:space="preserve">Statens vegvesen. 2005. </w:t>
      </w:r>
      <w:r w:rsidRPr="006E1857">
        <w:rPr>
          <w:i/>
          <w:lang w:val="is-IS"/>
        </w:rPr>
        <w:t>Håndbok 018.</w:t>
      </w:r>
      <w:r w:rsidRPr="006E1857">
        <w:rPr>
          <w:lang w:val="is-IS"/>
        </w:rPr>
        <w:t xml:space="preserve"> </w:t>
      </w:r>
      <w:r w:rsidRPr="006E1857">
        <w:rPr>
          <w:i/>
          <w:lang w:val="is-IS"/>
        </w:rPr>
        <w:t xml:space="preserve">Vegbygging. </w:t>
      </w:r>
      <w:r w:rsidRPr="006E1857">
        <w:rPr>
          <w:lang w:val="is-IS"/>
        </w:rPr>
        <w:t>Statens vegvesen. Oslo.</w:t>
      </w:r>
    </w:p>
    <w:p w14:paraId="33D08257" w14:textId="340191EC" w:rsidR="000E198B" w:rsidRPr="00F70980" w:rsidRDefault="00964178" w:rsidP="00F70980">
      <w:pPr>
        <w:ind w:left="340" w:hanging="340"/>
        <w:jc w:val="both"/>
        <w:rPr>
          <w:lang w:val="is-IS"/>
        </w:rPr>
      </w:pPr>
      <w:r w:rsidRPr="006E1857">
        <w:rPr>
          <w:szCs w:val="22"/>
          <w:lang w:val="is-IS"/>
        </w:rPr>
        <w:t xml:space="preserve">Vägverket. 2005. </w:t>
      </w:r>
      <w:r w:rsidRPr="006E1857">
        <w:rPr>
          <w:i/>
          <w:szCs w:val="22"/>
          <w:lang w:val="is-IS"/>
        </w:rPr>
        <w:t xml:space="preserve">ATB VÄG 2005. Kapitel </w:t>
      </w:r>
      <w:r>
        <w:rPr>
          <w:i/>
          <w:szCs w:val="22"/>
          <w:lang w:val="is-IS"/>
        </w:rPr>
        <w:t>A</w:t>
      </w:r>
      <w:r w:rsidRPr="006E1857">
        <w:rPr>
          <w:i/>
          <w:szCs w:val="22"/>
          <w:lang w:val="is-IS"/>
        </w:rPr>
        <w:t xml:space="preserve"> </w:t>
      </w:r>
      <w:r>
        <w:rPr>
          <w:i/>
          <w:szCs w:val="22"/>
          <w:lang w:val="is-IS"/>
        </w:rPr>
        <w:t>Gemensamma förutsättningar.</w:t>
      </w:r>
      <w:r w:rsidRPr="006E1857">
        <w:rPr>
          <w:szCs w:val="22"/>
          <w:lang w:val="is-IS"/>
        </w:rPr>
        <w:t xml:space="preserve"> VV Publ 2005:112. Borlänge.</w:t>
      </w:r>
    </w:p>
    <w:p w14:paraId="33D08258" w14:textId="77777777" w:rsidR="00085509" w:rsidRPr="001C45E6" w:rsidRDefault="00085509" w:rsidP="00D15FAD">
      <w:pPr>
        <w:pStyle w:val="Heading1"/>
        <w:rPr>
          <w:lang w:val="is-IS"/>
        </w:rPr>
      </w:pPr>
      <w:bookmarkStart w:id="34" w:name="_Toc52974039"/>
      <w:r w:rsidRPr="001C45E6">
        <w:rPr>
          <w:lang w:val="is-IS"/>
        </w:rPr>
        <w:t>BINDIEFNISSLIKJA Á SLITLÖGUM OG ÁHRIF HENNAR Á HEMLUNARVIÐNÁM</w:t>
      </w:r>
      <w:bookmarkEnd w:id="34"/>
    </w:p>
    <w:p w14:paraId="33D08259" w14:textId="77777777" w:rsidR="00085509" w:rsidRPr="0054726C" w:rsidRDefault="00085509" w:rsidP="00085509">
      <w:pPr>
        <w:rPr>
          <w:sz w:val="24"/>
          <w:szCs w:val="24"/>
          <w:lang w:val="is-IS"/>
        </w:rPr>
      </w:pPr>
    </w:p>
    <w:p w14:paraId="33D0825A" w14:textId="77777777" w:rsidR="00085509" w:rsidRDefault="00085509" w:rsidP="00085509">
      <w:pPr>
        <w:jc w:val="both"/>
        <w:rPr>
          <w:lang w:val="is-IS"/>
        </w:rPr>
      </w:pPr>
      <w:r>
        <w:rPr>
          <w:lang w:val="is-IS"/>
        </w:rPr>
        <w:t>Á nýlögðu malbiki er oft slikja af bindiefni á yfirborðinu, se</w:t>
      </w:r>
      <w:r w:rsidR="001F0FB6">
        <w:rPr>
          <w:lang w:val="is-IS"/>
        </w:rPr>
        <w:t xml:space="preserve">m getur minnkað hemlunarviðnám </w:t>
      </w:r>
      <w:r>
        <w:rPr>
          <w:lang w:val="is-IS"/>
        </w:rPr>
        <w:t xml:space="preserve">til muna þegar slitlagið er blautt. Þetta á einkum við um efjurík (efja: blanda af bindiefni og mélu) slitlög, svo sem </w:t>
      </w:r>
      <w:r w:rsidR="00624784">
        <w:rPr>
          <w:lang w:val="is-IS"/>
        </w:rPr>
        <w:t>steinríkt malbik (</w:t>
      </w:r>
      <w:r>
        <w:rPr>
          <w:lang w:val="is-IS"/>
        </w:rPr>
        <w:t>SMA</w:t>
      </w:r>
      <w:r w:rsidR="00624784">
        <w:rPr>
          <w:lang w:val="is-IS"/>
        </w:rPr>
        <w:t>)</w:t>
      </w:r>
      <w:r>
        <w:rPr>
          <w:lang w:val="is-IS"/>
        </w:rPr>
        <w:t>, sér í lagi ef bindiefnisinnihaldið</w:t>
      </w:r>
      <w:r w:rsidR="00183D3E">
        <w:rPr>
          <w:lang w:val="is-IS"/>
        </w:rPr>
        <w:t xml:space="preserve"> er</w:t>
      </w:r>
      <w:r>
        <w:rPr>
          <w:lang w:val="is-IS"/>
        </w:rPr>
        <w:t xml:space="preserve"> hátt og holrýmdin lág, þá pressast efjan upp á yfirborð slitlagsins þegar það er valtað. Þar til naglar hafa </w:t>
      </w:r>
      <w:r>
        <w:rPr>
          <w:lang w:val="is-IS"/>
        </w:rPr>
        <w:lastRenderedPageBreak/>
        <w:t xml:space="preserve">skrapað slikjuna af er viss slysahætta af henni, ekki síst úti á þjóðvegum þar sem umferðarhraði er mikill. </w:t>
      </w:r>
    </w:p>
    <w:p w14:paraId="33D0825B" w14:textId="77777777" w:rsidR="00085509" w:rsidRDefault="00085509" w:rsidP="00085509">
      <w:pPr>
        <w:ind w:firstLine="342"/>
        <w:jc w:val="both"/>
        <w:rPr>
          <w:lang w:val="is-IS"/>
        </w:rPr>
      </w:pPr>
      <w:r>
        <w:rPr>
          <w:lang w:val="is-IS"/>
        </w:rPr>
        <w:t xml:space="preserve">Sú spurning hefur komið upp hvað það taki langan tíma að skrapa bindiefnishimnuna burtu. Sumir telja að svarið fari eftir umferð, naglanotkun og hvenær ársins slitlagið var lagt, svo eitthvað sé nefnt. Aðrir álita að naglarnir skipti ekki meginmáli, hjólbarðarnir, þótt ónegldir séu, kroppi bindiefnisslikjuna fljótlega af. </w:t>
      </w:r>
    </w:p>
    <w:p w14:paraId="33D0825C" w14:textId="4386C39D" w:rsidR="00085509" w:rsidRDefault="00085509" w:rsidP="00085509">
      <w:pPr>
        <w:ind w:firstLine="342"/>
        <w:jc w:val="both"/>
        <w:rPr>
          <w:lang w:val="is-IS"/>
        </w:rPr>
      </w:pPr>
      <w:r>
        <w:rPr>
          <w:lang w:val="is-IS"/>
        </w:rPr>
        <w:t>Reynslan bendir til þess að bindiefnishimnan sé farin af í hjólförum á fjölförnum götum í Reykjavík (</w:t>
      </w:r>
      <w:r w:rsidR="00624784">
        <w:rPr>
          <w:lang w:val="is-IS"/>
        </w:rPr>
        <w:t xml:space="preserve">til dæmis </w:t>
      </w:r>
      <w:r>
        <w:rPr>
          <w:lang w:val="is-IS"/>
        </w:rPr>
        <w:t>Miklubraut</w:t>
      </w:r>
      <w:r w:rsidR="00624784">
        <w:rPr>
          <w:lang w:val="is-IS"/>
        </w:rPr>
        <w:t xml:space="preserve"> og</w:t>
      </w:r>
      <w:r>
        <w:rPr>
          <w:lang w:val="is-IS"/>
        </w:rPr>
        <w:t xml:space="preserve"> Kringlumýrarbraut) kringum mánaðamótin nóvember-desember. Setjum svo að umferð á hverri akrein á þessum götum sé 10.000 ÁDU. Gerum enn fremur ráð fyrir að naglanotkun vaxi úr engri í fyrstu viku nóvember í 40% í fyrstu viku desember, sé orðin</w:t>
      </w:r>
      <w:r w:rsidR="00504211">
        <w:rPr>
          <w:lang w:val="is-IS"/>
        </w:rPr>
        <w:t xml:space="preserve"> </w:t>
      </w:r>
      <w:r>
        <w:rPr>
          <w:lang w:val="is-IS"/>
        </w:rPr>
        <w:t>50% um miðjan desember og verði ekki meiri. Ef þessar forsendur eru réttar þarf um 60.000 bíla á nöglum til að skrapa bindiefnishimnuna af hjólförum á hverri akrein.</w:t>
      </w:r>
    </w:p>
    <w:p w14:paraId="33D0825D" w14:textId="49784FB1" w:rsidR="00085509" w:rsidRDefault="00085509" w:rsidP="00085509">
      <w:pPr>
        <w:ind w:firstLine="342"/>
        <w:jc w:val="both"/>
        <w:rPr>
          <w:lang w:val="is-IS"/>
        </w:rPr>
      </w:pPr>
      <w:r>
        <w:rPr>
          <w:lang w:val="is-IS"/>
        </w:rPr>
        <w:t xml:space="preserve">Úti á þjóðvegum er umferðin miklu minni og þar tekur lengri tíma að hreinsa bindiefnishimnuna af. Tökum Reykjanesbrautina með fjórar akreinar vestan við Straumsvík sem dæmi. Þar er umferðin um 10.000 ÁDU, þ.e.a.s. um 2500 ÁDU á akrein. Á veginum austur fyrir fjall er umferðin um 8000 ÁDU á tveim akreinum, þ.e.a.s. um 4000 ÁDU á akrein.  </w:t>
      </w:r>
    </w:p>
    <w:p w14:paraId="33D0825E" w14:textId="77777777" w:rsidR="00085509" w:rsidRDefault="00085509" w:rsidP="00085509">
      <w:pPr>
        <w:ind w:firstLine="342"/>
        <w:jc w:val="both"/>
        <w:rPr>
          <w:lang w:val="is-IS"/>
        </w:rPr>
      </w:pPr>
      <w:r>
        <w:rPr>
          <w:lang w:val="is-IS"/>
        </w:rPr>
        <w:t xml:space="preserve">Miðað við framangreindar forsendur ætti bindiefnishimnan að vera horfin í hjólförum um mánaðamótin nóvember-desember á Hringbrautinni, upp úr miðjum desember á veginum austur fyrir fjall og um það bil viku af janúar á Reykjanesbrautinni, svo dæmi séu tekin.  </w:t>
      </w:r>
    </w:p>
    <w:p w14:paraId="33D0825F" w14:textId="240B2E23" w:rsidR="00085509" w:rsidRDefault="00085509" w:rsidP="00085509">
      <w:pPr>
        <w:ind w:firstLine="342"/>
        <w:jc w:val="both"/>
        <w:rPr>
          <w:lang w:val="is-IS"/>
        </w:rPr>
      </w:pPr>
      <w:r>
        <w:rPr>
          <w:lang w:val="is-IS"/>
        </w:rPr>
        <w:t xml:space="preserve">Síðan þarf að svara spurningunni hvað bindiefnisslikja í hjólförum hefur mikil áhrif á hemlunarviðnám. Snöggsoðin heimildakönnun bar heldur lítinn árangur. Í ágripi af fyrirlestri um hemlunarviðnám </w:t>
      </w:r>
      <w:r w:rsidR="0048232B">
        <w:rPr>
          <w:lang w:val="is-IS"/>
        </w:rPr>
        <w:t>[</w:t>
      </w:r>
      <w:r>
        <w:rPr>
          <w:lang w:val="is-IS"/>
        </w:rPr>
        <w:t>Slyngstad 1972, bls. 7</w:t>
      </w:r>
      <w:r w:rsidR="0048232B">
        <w:rPr>
          <w:lang w:val="is-IS"/>
        </w:rPr>
        <w:t>]</w:t>
      </w:r>
      <w:r>
        <w:rPr>
          <w:lang w:val="is-IS"/>
        </w:rPr>
        <w:t xml:space="preserve"> er birt tafla (frumheimild er ekki tilgreind) sem dæmi um áhrif bindiefnisinnihalds á hemlunarviðnám. Hún sýnir að viðnámsstuðull breytist úr 0,6-0,7 í 0,3-0,4 þegar bindiefnisinnihald eykst úr 5,0</w:t>
      </w:r>
      <w:r w:rsidR="00B01C2B">
        <w:rPr>
          <w:lang w:val="is-IS"/>
        </w:rPr>
        <w:t>%</w:t>
      </w:r>
      <w:r>
        <w:rPr>
          <w:lang w:val="is-IS"/>
        </w:rPr>
        <w:t xml:space="preserve"> í 6,5%. Í skýrslu frá nefnd 33 í Norræna vegtæknisambandinu </w:t>
      </w:r>
      <w:r w:rsidR="003E6693">
        <w:rPr>
          <w:lang w:val="is-IS"/>
        </w:rPr>
        <w:t>[</w:t>
      </w:r>
      <w:r>
        <w:rPr>
          <w:lang w:val="is-IS"/>
        </w:rPr>
        <w:t>NVF 1981, bls. 27</w:t>
      </w:r>
      <w:r w:rsidR="003E6693">
        <w:rPr>
          <w:lang w:val="is-IS"/>
        </w:rPr>
        <w:t>]</w:t>
      </w:r>
      <w:r>
        <w:rPr>
          <w:lang w:val="is-IS"/>
        </w:rPr>
        <w:t xml:space="preserve"> er sagt að áhrif fínhrýfis (microtextur) á hemlunarviðnám geti horfið ef bindiefni á slitlagsyfirborðinu er of mikið og jafnvel áhrif grófhrýfis (macrotextur) að einhverju leyti, og þetta geti haft alvarlegar afleiðingar, að minnsta kosti í bleytu. Á sama stað er nefnt að of mikið bindiefnisinnihald samfara lágri holrýmd geti haft þessi áhrif. Þar er einnig minnst á hálku að vetrarlagi sem sé síst minna vandamál. </w:t>
      </w:r>
    </w:p>
    <w:p w14:paraId="33D08260" w14:textId="77777777" w:rsidR="00085509" w:rsidRDefault="00085509" w:rsidP="00085509">
      <w:pPr>
        <w:ind w:firstLine="342"/>
        <w:jc w:val="both"/>
        <w:rPr>
          <w:lang w:val="is-IS"/>
        </w:rPr>
      </w:pPr>
      <w:r>
        <w:rPr>
          <w:lang w:val="is-IS"/>
        </w:rPr>
        <w:t xml:space="preserve">Í sænskri skýrslu </w:t>
      </w:r>
      <w:r w:rsidR="003E6693">
        <w:rPr>
          <w:lang w:val="is-IS"/>
        </w:rPr>
        <w:t>[</w:t>
      </w:r>
      <w:r>
        <w:rPr>
          <w:lang w:val="is-IS"/>
        </w:rPr>
        <w:t>VTI 2001, bls. 30</w:t>
      </w:r>
      <w:r w:rsidR="003E6693">
        <w:rPr>
          <w:lang w:val="is-IS"/>
        </w:rPr>
        <w:t>]</w:t>
      </w:r>
      <w:r>
        <w:rPr>
          <w:lang w:val="is-IS"/>
        </w:rPr>
        <w:t xml:space="preserve"> er sýnt á mynd hvernig hlutfallsleg slysaáhætta vex með minnkandi hemlunarviðnámi, hún breytist mjög lítið meðan viðnámsstuðullinn (mældur með pendúl) er yfir 0,5 en áhættan eykst mjög hratt þar fyrir neðan. Heimildakönnunin leiddi ekkert í ljós um samband viðnámsstuðuls og holrýmdar né heldur um viðnámsstuðul á slitlagi með bindiefnisslikju. Um síðarnefnda atriðið er hægur vandi að afla upplýsinga, þar sem Vegagerðin á tæki til að mæla viðnámsstuðul á slitlögum.  </w:t>
      </w:r>
    </w:p>
    <w:p w14:paraId="33D08261" w14:textId="77777777" w:rsidR="00085509" w:rsidRDefault="00085509" w:rsidP="00085509">
      <w:pPr>
        <w:spacing w:after="60"/>
        <w:jc w:val="both"/>
        <w:rPr>
          <w:lang w:val="is-IS"/>
        </w:rPr>
      </w:pPr>
    </w:p>
    <w:p w14:paraId="33D08262" w14:textId="77777777" w:rsidR="00B01C2B" w:rsidRPr="00504211" w:rsidRDefault="00B01C2B" w:rsidP="00B01C2B">
      <w:pPr>
        <w:ind w:firstLine="340"/>
        <w:jc w:val="both"/>
        <w:rPr>
          <w:b/>
          <w:color w:val="FF0000"/>
          <w:lang w:val="is-IS"/>
        </w:rPr>
      </w:pPr>
      <w:r w:rsidRPr="00504211">
        <w:rPr>
          <w:b/>
          <w:color w:val="FF0000"/>
          <w:lang w:val="is-IS"/>
        </w:rPr>
        <w:t>ATHUGASEMD RITSTJÓRNAR Í JANÚAR 2020</w:t>
      </w:r>
    </w:p>
    <w:p w14:paraId="33D08263" w14:textId="1200237D" w:rsidR="00B01C2B" w:rsidRPr="00504211" w:rsidRDefault="00B01C2B" w:rsidP="00B01C2B">
      <w:pPr>
        <w:spacing w:after="60"/>
        <w:jc w:val="both"/>
        <w:rPr>
          <w:color w:val="FF0000"/>
          <w:lang w:val="is-IS"/>
        </w:rPr>
      </w:pPr>
      <w:r w:rsidRPr="00504211">
        <w:rPr>
          <w:color w:val="FF0000"/>
        </w:rPr>
        <w:t>Þessi kafli fær að halda sér að mestu leyti. Dæmi um umferðarmagn á völdum vegum eru látin halda sér, þótt</w:t>
      </w:r>
      <w:r w:rsidR="00286C2F" w:rsidRPr="00504211">
        <w:rPr>
          <w:color w:val="FF0000"/>
        </w:rPr>
        <w:t xml:space="preserve"> það hafi aukist með árunum, en einnig er vegurinn austur fyrir fjall að mestu komin með þrjár akreinar.</w:t>
      </w:r>
    </w:p>
    <w:p w14:paraId="33D08264" w14:textId="77777777" w:rsidR="00085509" w:rsidRDefault="00085509" w:rsidP="00085509">
      <w:pPr>
        <w:spacing w:after="60"/>
        <w:jc w:val="both"/>
        <w:rPr>
          <w:lang w:val="is-IS"/>
        </w:rPr>
      </w:pPr>
    </w:p>
    <w:p w14:paraId="33D08265" w14:textId="77777777" w:rsidR="00085509" w:rsidRPr="00E57041" w:rsidRDefault="00085509" w:rsidP="00E57041">
      <w:pPr>
        <w:spacing w:after="60"/>
        <w:rPr>
          <w:b/>
          <w:sz w:val="24"/>
          <w:szCs w:val="24"/>
          <w:lang w:val="is-IS"/>
        </w:rPr>
      </w:pPr>
      <w:r w:rsidRPr="00E57041">
        <w:rPr>
          <w:b/>
          <w:sz w:val="24"/>
          <w:szCs w:val="24"/>
          <w:lang w:val="is-IS"/>
        </w:rPr>
        <w:t>HEIMILDIR</w:t>
      </w:r>
    </w:p>
    <w:p w14:paraId="33D08266" w14:textId="77777777" w:rsidR="00085509" w:rsidRDefault="00085509" w:rsidP="00085509">
      <w:pPr>
        <w:ind w:left="340" w:hanging="340"/>
        <w:jc w:val="both"/>
        <w:rPr>
          <w:lang w:val="is-IS"/>
        </w:rPr>
      </w:pPr>
      <w:r>
        <w:rPr>
          <w:lang w:val="is-IS"/>
        </w:rPr>
        <w:t xml:space="preserve">NVF. 1981. </w:t>
      </w:r>
      <w:r w:rsidRPr="00CB56DB">
        <w:rPr>
          <w:i/>
          <w:lang w:val="is-IS"/>
        </w:rPr>
        <w:t>Beläggningars funktionstid och funktionsegenskaper.</w:t>
      </w:r>
      <w:r>
        <w:rPr>
          <w:lang w:val="is-IS"/>
        </w:rPr>
        <w:t xml:space="preserve"> Nordiska Vägtekniska Förbundet. Utskott 33 Asfaltbeläggningar. Rapport nr 2: 1982.</w:t>
      </w:r>
    </w:p>
    <w:p w14:paraId="33D08267" w14:textId="77777777" w:rsidR="00085509" w:rsidRDefault="00085509" w:rsidP="00085509">
      <w:pPr>
        <w:spacing w:after="60"/>
        <w:ind w:left="342" w:hanging="342"/>
        <w:jc w:val="both"/>
        <w:rPr>
          <w:lang w:val="is-IS"/>
        </w:rPr>
      </w:pPr>
      <w:r>
        <w:rPr>
          <w:lang w:val="is-IS"/>
        </w:rPr>
        <w:t xml:space="preserve">Slyngstad, T. 1972. </w:t>
      </w:r>
      <w:r w:rsidRPr="00F373CD">
        <w:rPr>
          <w:i/>
          <w:lang w:val="is-IS"/>
        </w:rPr>
        <w:t>Friksjon.</w:t>
      </w:r>
      <w:r>
        <w:rPr>
          <w:lang w:val="is-IS"/>
        </w:rPr>
        <w:t xml:space="preserve"> Internt notat for særkurset. Institutt for veg- og jernbanebygging, Universitetet i Trondheim, Norges Tekniske Högskole. </w:t>
      </w:r>
    </w:p>
    <w:p w14:paraId="33D08268" w14:textId="77777777" w:rsidR="00085509" w:rsidRDefault="00085509" w:rsidP="00085509">
      <w:pPr>
        <w:spacing w:after="60"/>
        <w:ind w:left="342" w:hanging="342"/>
        <w:jc w:val="both"/>
        <w:rPr>
          <w:lang w:val="is-IS"/>
        </w:rPr>
      </w:pPr>
      <w:r>
        <w:rPr>
          <w:lang w:val="is-IS"/>
        </w:rPr>
        <w:t xml:space="preserve">Wallman, C-G., H. Åström. 2001. </w:t>
      </w:r>
      <w:r w:rsidRPr="00FA51D1">
        <w:rPr>
          <w:i/>
          <w:lang w:val="is-IS"/>
        </w:rPr>
        <w:t>Friction measurement methods and the correlation between road friction and traffic safety. A literature review.</w:t>
      </w:r>
      <w:r>
        <w:rPr>
          <w:lang w:val="is-IS"/>
        </w:rPr>
        <w:t xml:space="preserve"> VTI meddelande 911A. Väg- och transportforskningsinstitutet, Linköping. </w:t>
      </w:r>
    </w:p>
    <w:p w14:paraId="33D08269" w14:textId="77777777" w:rsidR="00085509" w:rsidRPr="009C1A2E" w:rsidRDefault="00085509" w:rsidP="00085509">
      <w:pPr>
        <w:spacing w:after="60"/>
        <w:jc w:val="both"/>
        <w:rPr>
          <w:lang w:val="is-IS"/>
        </w:rPr>
      </w:pPr>
      <w:r>
        <w:rPr>
          <w:lang w:val="is-IS"/>
        </w:rPr>
        <w:t xml:space="preserve"> </w:t>
      </w:r>
    </w:p>
    <w:p w14:paraId="33D0826A" w14:textId="77777777" w:rsidR="00085509" w:rsidRPr="001C45E6" w:rsidRDefault="00085509" w:rsidP="00D15FAD">
      <w:pPr>
        <w:pStyle w:val="Heading1"/>
        <w:rPr>
          <w:lang w:val="is-IS"/>
        </w:rPr>
      </w:pPr>
      <w:bookmarkStart w:id="35" w:name="_Toc52974040"/>
      <w:r w:rsidRPr="001C45E6">
        <w:rPr>
          <w:lang w:val="is-IS"/>
        </w:rPr>
        <w:lastRenderedPageBreak/>
        <w:t>FÁEIN ORÐ UM EFTIRLIT</w:t>
      </w:r>
      <w:bookmarkEnd w:id="35"/>
    </w:p>
    <w:p w14:paraId="33D0826B" w14:textId="77777777" w:rsidR="00085509" w:rsidRPr="0054726C" w:rsidRDefault="00085509" w:rsidP="004D7B8A">
      <w:pPr>
        <w:jc w:val="both"/>
        <w:rPr>
          <w:sz w:val="24"/>
          <w:szCs w:val="24"/>
          <w:lang w:val="is-IS"/>
        </w:rPr>
      </w:pPr>
    </w:p>
    <w:p w14:paraId="33D0826C" w14:textId="2A5E2B0F" w:rsidR="00085509" w:rsidRDefault="00085509" w:rsidP="00085509">
      <w:pPr>
        <w:spacing w:after="60"/>
        <w:jc w:val="both"/>
        <w:rPr>
          <w:lang w:val="is-IS"/>
        </w:rPr>
      </w:pPr>
      <w:r>
        <w:rPr>
          <w:lang w:val="is-IS"/>
        </w:rPr>
        <w:t>Í þessu minnisblaði er tæpt á hugmyndum um malbikseftirlit (</w:t>
      </w:r>
      <w:r w:rsidR="00465AE6">
        <w:rPr>
          <w:lang w:val="is-IS"/>
        </w:rPr>
        <w:t xml:space="preserve">við </w:t>
      </w:r>
      <w:r>
        <w:rPr>
          <w:lang w:val="is-IS"/>
        </w:rPr>
        <w:t xml:space="preserve">framleiðslu og útlögn). Þær eru alls ekki fastmótaðar og eru settar fram til umræðu í þeirri von að þær geti, að lokinni gagnrýni og endurskoðun, orðið grundvöllur að ákvæðum um sama efni í </w:t>
      </w:r>
      <w:r w:rsidR="00465AE6">
        <w:rPr>
          <w:lang w:val="is-IS"/>
        </w:rPr>
        <w:t>Efnisgæðaritinu</w:t>
      </w:r>
      <w:r>
        <w:rPr>
          <w:lang w:val="is-IS"/>
        </w:rPr>
        <w:t xml:space="preserve">. Það má vel vera að hér séu flóknir hlutir einfaldaðir um of, en úr því má auðveldlega bæta ef nauðsyn krefur. Meginboðskapurinn er á þann veg að betra sé að stilla kröfum um prófanatíðni í hóf og fylgja þeim eftir án undanbragða, heldur en að íþyngja verktakanum með kröfum um prófanatíðni umfram það sem nauðsynlegt er og getur talist sanngjarnt frá sjónarmiði beggja. Hið síðarnefnda býður heim hættu á að tíðnikröfurnar verði að meira eða minna leyti hundsaðar þegar fram í sækir. </w:t>
      </w:r>
      <w:r w:rsidR="00465AE6">
        <w:rPr>
          <w:lang w:val="is-IS"/>
        </w:rPr>
        <w:t>Í Efnisgæðaritinu eru settar fram kröfur um framleiðslueftirlit við framleiðslu hverrar malbiksgerðar og eru þær í samræmi við staðal ÍST EN 13108-21 um framleiðslueftirlit (e. Factory Production Control).</w:t>
      </w:r>
    </w:p>
    <w:p w14:paraId="33D0826D" w14:textId="77777777" w:rsidR="00085509" w:rsidRDefault="00085509" w:rsidP="00F423B4">
      <w:pPr>
        <w:numPr>
          <w:ilvl w:val="0"/>
          <w:numId w:val="13"/>
        </w:numPr>
        <w:ind w:left="527" w:hanging="357"/>
        <w:jc w:val="both"/>
        <w:rPr>
          <w:lang w:val="is-IS"/>
        </w:rPr>
      </w:pPr>
      <w:r>
        <w:rPr>
          <w:lang w:val="is-IS"/>
        </w:rPr>
        <w:t>Hér er ekki talið skipta neinu máli hvaðan prófananiðurstöður eru komnar, svo lengi sem verkkaupinn treystir þeim. Að þeirri forsendu gefinni er engin ástæðu til að verkkaupinn (eða fulltrúi hans, eftirlitsmaður) taki og rannsaki sams konar sýni og verktakinn er þegar búinn að gera</w:t>
      </w:r>
      <w:r w:rsidR="0008290B">
        <w:rPr>
          <w:lang w:val="is-IS"/>
        </w:rPr>
        <w:t>, enda er framleiðsla stærri framleiðenda</w:t>
      </w:r>
      <w:r w:rsidR="00465AE6">
        <w:rPr>
          <w:lang w:val="is-IS"/>
        </w:rPr>
        <w:t xml:space="preserve"> vottuð og CE merkt nú til dags</w:t>
      </w:r>
      <w:r w:rsidR="007B61F4">
        <w:rPr>
          <w:lang w:val="is-IS"/>
        </w:rPr>
        <w:t>.</w:t>
      </w:r>
    </w:p>
    <w:p w14:paraId="33D0826E" w14:textId="7BBAE197" w:rsidR="00085509" w:rsidRDefault="00085509" w:rsidP="00F423B4">
      <w:pPr>
        <w:numPr>
          <w:ilvl w:val="0"/>
          <w:numId w:val="13"/>
        </w:numPr>
        <w:ind w:left="527" w:hanging="357"/>
        <w:jc w:val="both"/>
        <w:rPr>
          <w:lang w:val="is-IS"/>
        </w:rPr>
      </w:pPr>
      <w:r>
        <w:rPr>
          <w:lang w:val="is-IS"/>
        </w:rPr>
        <w:t xml:space="preserve">Gert er ráð fyrir að verktakinn sé algerlega frjáls að því hvað hann tekur mörg sýni af hráefnum sínum eða framleiðslu sinni, nema hvað hann þarf auðvitað að uppfylla </w:t>
      </w:r>
      <w:r w:rsidR="00465AE6">
        <w:rPr>
          <w:lang w:val="is-IS"/>
        </w:rPr>
        <w:t>lágmarks</w:t>
      </w:r>
      <w:r>
        <w:rPr>
          <w:lang w:val="is-IS"/>
        </w:rPr>
        <w:t>kröfur staðla</w:t>
      </w:r>
      <w:r w:rsidR="0008290B">
        <w:rPr>
          <w:lang w:val="is-IS"/>
        </w:rPr>
        <w:t xml:space="preserve"> þegar</w:t>
      </w:r>
      <w:r w:rsidR="00465AE6">
        <w:rPr>
          <w:lang w:val="is-IS"/>
        </w:rPr>
        <w:t xml:space="preserve"> um</w:t>
      </w:r>
      <w:r>
        <w:rPr>
          <w:lang w:val="is-IS"/>
        </w:rPr>
        <w:t xml:space="preserve"> CE-merkta</w:t>
      </w:r>
      <w:r w:rsidR="00465AE6">
        <w:rPr>
          <w:lang w:val="is-IS"/>
        </w:rPr>
        <w:t xml:space="preserve"> vöru að ræða</w:t>
      </w:r>
      <w:r>
        <w:rPr>
          <w:lang w:val="is-IS"/>
        </w:rPr>
        <w:t>.</w:t>
      </w:r>
    </w:p>
    <w:p w14:paraId="33D0826F" w14:textId="77777777" w:rsidR="00085509" w:rsidRDefault="00085509" w:rsidP="00F423B4">
      <w:pPr>
        <w:numPr>
          <w:ilvl w:val="0"/>
          <w:numId w:val="13"/>
        </w:numPr>
        <w:ind w:left="527" w:hanging="357"/>
        <w:jc w:val="both"/>
        <w:rPr>
          <w:lang w:val="is-IS"/>
        </w:rPr>
      </w:pPr>
      <w:r>
        <w:rPr>
          <w:lang w:val="is-IS"/>
        </w:rPr>
        <w:t>Þar af leiðandi virðist liggja beint við að verkkaupi geri tvennskonar kröfur til prófanatíðni, annars vegar ef framleiðslan er CE-merkt, hins vegar ef hún er það ekki.</w:t>
      </w:r>
    </w:p>
    <w:p w14:paraId="33D08270" w14:textId="584FF007" w:rsidR="00085509" w:rsidRDefault="00085509" w:rsidP="00F423B4">
      <w:pPr>
        <w:numPr>
          <w:ilvl w:val="0"/>
          <w:numId w:val="13"/>
        </w:numPr>
        <w:ind w:left="527" w:hanging="357"/>
        <w:jc w:val="both"/>
        <w:rPr>
          <w:lang w:val="is-IS"/>
        </w:rPr>
      </w:pPr>
      <w:r>
        <w:rPr>
          <w:lang w:val="is-IS"/>
        </w:rPr>
        <w:t xml:space="preserve">Ef framleiðsla er CE-merkt </w:t>
      </w:r>
      <w:r w:rsidR="0008290B">
        <w:rPr>
          <w:lang w:val="is-IS"/>
        </w:rPr>
        <w:t>og malbikið gerðarprófað skv. ÍST EN 13108-20 (e. Type Testing) ætti</w:t>
      </w:r>
      <w:r>
        <w:rPr>
          <w:lang w:val="is-IS"/>
        </w:rPr>
        <w:t xml:space="preserve"> verktaki</w:t>
      </w:r>
      <w:r w:rsidR="0008290B">
        <w:rPr>
          <w:lang w:val="is-IS"/>
        </w:rPr>
        <w:t xml:space="preserve"> ekki að þurfa að</w:t>
      </w:r>
      <w:r>
        <w:rPr>
          <w:lang w:val="is-IS"/>
        </w:rPr>
        <w:t xml:space="preserve"> tak</w:t>
      </w:r>
      <w:r w:rsidR="0008290B">
        <w:rPr>
          <w:lang w:val="is-IS"/>
        </w:rPr>
        <w:t>a</w:t>
      </w:r>
      <w:r>
        <w:rPr>
          <w:lang w:val="is-IS"/>
        </w:rPr>
        <w:t xml:space="preserve"> og próf</w:t>
      </w:r>
      <w:r w:rsidR="0008290B">
        <w:rPr>
          <w:lang w:val="is-IS"/>
        </w:rPr>
        <w:t>a</w:t>
      </w:r>
      <w:r>
        <w:rPr>
          <w:lang w:val="is-IS"/>
        </w:rPr>
        <w:t xml:space="preserve"> sýni umfram það sem CE-merkingin krefst. </w:t>
      </w:r>
      <w:r w:rsidR="0008290B">
        <w:rPr>
          <w:lang w:val="is-IS"/>
        </w:rPr>
        <w:t>Þó</w:t>
      </w:r>
      <w:r>
        <w:rPr>
          <w:lang w:val="is-IS"/>
        </w:rPr>
        <w:t xml:space="preserve"> getur verkkaupi tekið sýni aukalega af framleiðslunni ef honum sýnist svo, en þá verður að teljast sanngjarnt að hann geri það á eigin kostnað.</w:t>
      </w:r>
    </w:p>
    <w:p w14:paraId="33D08271" w14:textId="77777777" w:rsidR="00085509" w:rsidRDefault="00085509" w:rsidP="00F423B4">
      <w:pPr>
        <w:numPr>
          <w:ilvl w:val="0"/>
          <w:numId w:val="13"/>
        </w:numPr>
        <w:ind w:left="527" w:hanging="357"/>
        <w:jc w:val="both"/>
        <w:rPr>
          <w:lang w:val="is-IS"/>
        </w:rPr>
      </w:pPr>
      <w:r>
        <w:rPr>
          <w:lang w:val="is-IS"/>
        </w:rPr>
        <w:t>Með rökstuðningi í framangreindum atriðum sýnist réttmætt að verkkaupi eigi aðeins að tiltaka hvaða tíðnikröfur hann setur til prófana sem taka til einstakra framleiðsluþátta. Síðan gangi eftirlitsmaðurinn eftir niðurstöðum hjá verktakanum, en bæti við eigin sýnum til að uppfylla tíðnikröfuna, ef tíðni verktakasýna nægir ekki. Ef eftirlitsmaðurinn telur fleiri sýni nauðsynleg en tíðnikröfur kveða á um, þá sér hann um að þau séu tekin og rannsökuð á kostnað verkkaupa. Ef framleiðslan stenst ekki kröfur er réttmætt að verktakinn greiði kostnað við umframsýni, enda kemur þá væntanlega til kasta frádráttarkvæða hvort sem er.</w:t>
      </w:r>
    </w:p>
    <w:p w14:paraId="33D08273" w14:textId="3BF6BC83" w:rsidR="00085509" w:rsidRPr="00601A20" w:rsidRDefault="00085509" w:rsidP="00601A20">
      <w:pPr>
        <w:numPr>
          <w:ilvl w:val="0"/>
          <w:numId w:val="13"/>
        </w:numPr>
        <w:ind w:left="527" w:hanging="357"/>
        <w:jc w:val="both"/>
        <w:rPr>
          <w:lang w:val="is-IS"/>
        </w:rPr>
      </w:pPr>
      <w:r>
        <w:rPr>
          <w:lang w:val="is-IS"/>
        </w:rPr>
        <w:t>Þetta fyrirkomulag mun að öllum líkindum hvetja verktaka til að hafa gott eftirlit með eigin framleiðslu, sem jafnframt sparar verkkaupa fé og fyrirhöfn, þar sem hann þarf þá aðeins að taka sýni með lágmarkstíðni.</w:t>
      </w:r>
    </w:p>
    <w:p w14:paraId="33D08274" w14:textId="77777777" w:rsidR="00085509" w:rsidRDefault="00085509" w:rsidP="00085509">
      <w:pPr>
        <w:spacing w:after="60"/>
        <w:jc w:val="both"/>
        <w:rPr>
          <w:lang w:val="is-IS"/>
        </w:rPr>
      </w:pPr>
    </w:p>
    <w:p w14:paraId="33D08275" w14:textId="77777777" w:rsidR="0008290B" w:rsidRPr="00601A20" w:rsidRDefault="0008290B" w:rsidP="0008290B">
      <w:pPr>
        <w:ind w:firstLine="340"/>
        <w:jc w:val="both"/>
        <w:rPr>
          <w:b/>
          <w:color w:val="FF0000"/>
          <w:lang w:val="is-IS"/>
        </w:rPr>
      </w:pPr>
      <w:r w:rsidRPr="00601A20">
        <w:rPr>
          <w:b/>
          <w:color w:val="FF0000"/>
          <w:lang w:val="is-IS"/>
        </w:rPr>
        <w:t>ATHUGASEMD RITSTJÓRNAR Í JANÚAR 2020</w:t>
      </w:r>
    </w:p>
    <w:p w14:paraId="33D08276" w14:textId="77777777" w:rsidR="0008290B" w:rsidRPr="00601A20" w:rsidRDefault="0008290B" w:rsidP="0008290B">
      <w:pPr>
        <w:spacing w:after="60"/>
        <w:jc w:val="both"/>
        <w:rPr>
          <w:color w:val="FF0000"/>
          <w:lang w:val="is-IS"/>
        </w:rPr>
      </w:pPr>
      <w:r w:rsidRPr="00601A20">
        <w:rPr>
          <w:color w:val="FF0000"/>
        </w:rPr>
        <w:t xml:space="preserve">Þessi kafli fær að halda sér að mestu leyti. Þó er sett inn umfjöllun um gerðarprófanir og framleiðslueftirlit skv. Evrópustöðlum eins og nú tíðkast, a.m.k. hjá stærri framleiðendum. Þegar svo er ætti ekki að þurfa að efast um eiginleika malbiksblöndunnar, enda eru stöð og framleiðsla tekin út af </w:t>
      </w:r>
      <w:r w:rsidR="00B15AC3" w:rsidRPr="00601A20">
        <w:rPr>
          <w:color w:val="FF0000"/>
        </w:rPr>
        <w:t xml:space="preserve">tilnefndum, </w:t>
      </w:r>
      <w:r w:rsidRPr="00601A20">
        <w:rPr>
          <w:color w:val="FF0000"/>
        </w:rPr>
        <w:t>óháðum aðila (e. Notified Body).</w:t>
      </w:r>
    </w:p>
    <w:p w14:paraId="33D08280" w14:textId="77777777" w:rsidR="003E6693" w:rsidRDefault="003E6693" w:rsidP="00085509">
      <w:pPr>
        <w:spacing w:after="60"/>
        <w:jc w:val="both"/>
        <w:rPr>
          <w:lang w:val="is-IS"/>
        </w:rPr>
      </w:pPr>
    </w:p>
    <w:sectPr w:rsidR="003E6693" w:rsidSect="00E718F0">
      <w:headerReference w:type="default" r:id="rId18"/>
      <w:footerReference w:type="default" r:id="rId19"/>
      <w:pgSz w:w="11913" w:h="16834"/>
      <w:pgMar w:top="1441" w:right="1707" w:bottom="1441" w:left="1798" w:header="708" w:footer="708" w:gutter="0"/>
      <w:paperSrc w:first="260" w:other="26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05FB3" w14:textId="77777777" w:rsidR="001D42D2" w:rsidRDefault="001D42D2">
      <w:r>
        <w:separator/>
      </w:r>
    </w:p>
  </w:endnote>
  <w:endnote w:type="continuationSeparator" w:id="0">
    <w:p w14:paraId="2C67BA99" w14:textId="77777777" w:rsidR="001D42D2" w:rsidRDefault="001D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08291" w14:textId="77777777" w:rsidR="00C45043" w:rsidRPr="007C00F4" w:rsidRDefault="00C45043">
    <w:pPr>
      <w:pStyle w:val="Footer"/>
      <w:rPr>
        <w:lang w:val="is-IS"/>
      </w:rPr>
    </w:pPr>
    <w:r>
      <w:rPr>
        <w:lang w:val="is-IS"/>
      </w:rPr>
      <w:tab/>
    </w:r>
    <w:r>
      <w:rPr>
        <w:rStyle w:val="PageNumber"/>
      </w:rPr>
      <w:fldChar w:fldCharType="begin"/>
    </w:r>
    <w:r>
      <w:rPr>
        <w:rStyle w:val="PageNumber"/>
      </w:rPr>
      <w:instrText xml:space="preserve"> PAGE </w:instrText>
    </w:r>
    <w:r>
      <w:rPr>
        <w:rStyle w:val="PageNumber"/>
      </w:rPr>
      <w:fldChar w:fldCharType="separate"/>
    </w:r>
    <w:r w:rsidR="00187A2A">
      <w:rPr>
        <w:rStyle w:val="PageNumber"/>
        <w:noProof/>
      </w:rPr>
      <w:t>20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83293" w14:textId="77777777" w:rsidR="001D42D2" w:rsidRDefault="001D42D2">
      <w:r>
        <w:separator/>
      </w:r>
    </w:p>
  </w:footnote>
  <w:footnote w:type="continuationSeparator" w:id="0">
    <w:p w14:paraId="1F0E5C6F" w14:textId="77777777" w:rsidR="001D42D2" w:rsidRDefault="001D42D2">
      <w:r>
        <w:continuationSeparator/>
      </w:r>
    </w:p>
  </w:footnote>
  <w:footnote w:id="1">
    <w:p w14:paraId="33D08292" w14:textId="6BE37CA9" w:rsidR="00C45043" w:rsidRDefault="00C45043" w:rsidP="00DD488B">
      <w:pPr>
        <w:pStyle w:val="FootnoteText"/>
        <w:jc w:val="both"/>
        <w:rPr>
          <w:lang w:val="is-IS"/>
        </w:rPr>
      </w:pPr>
      <w:r>
        <w:rPr>
          <w:rStyle w:val="FootnoteReference"/>
        </w:rPr>
        <w:footnoteRef/>
      </w:r>
      <w:r>
        <w:t xml:space="preserve"> </w:t>
      </w:r>
      <w:r>
        <w:rPr>
          <w:lang w:val="is-IS"/>
        </w:rPr>
        <w:t>Bindiefnið í íslensku malbiki er stundum kallað tjara, en það er ekki réttnefni, réttara er að nota orðið bik. Svipaður nafnaruglingur er þekktur erlendis. Orðið bik getur líka valdið misskilningi, því orðið malbik (blanda af biki og steinefni) er oft stytt í bik í daglegu tali.</w:t>
      </w:r>
    </w:p>
    <w:p w14:paraId="33D08293" w14:textId="50CD0D78" w:rsidR="00C45043" w:rsidRDefault="00C45043" w:rsidP="00DD488B">
      <w:pPr>
        <w:pStyle w:val="FootnoteText"/>
        <w:ind w:firstLine="342"/>
        <w:jc w:val="both"/>
        <w:rPr>
          <w:lang w:val="is-IS"/>
        </w:rPr>
      </w:pPr>
      <w:r>
        <w:rPr>
          <w:lang w:val="is-IS"/>
        </w:rPr>
        <w:t xml:space="preserve">Enska orðið „asphalt“ hefur mismunandi merkingu eftir því hvar það er notað. Í Evrópu er „asphalt“ notað um blöndu af bikbindiefni (sem þar er kallað „bitumen“) og steinefni, en í Norður-Ameríku merkir „asphalt“ bik, unnið úr jarðolíu. </w:t>
      </w:r>
    </w:p>
    <w:p w14:paraId="33D08294" w14:textId="77777777" w:rsidR="00C45043" w:rsidRPr="007C6A6E" w:rsidRDefault="00C45043" w:rsidP="00DD488B">
      <w:pPr>
        <w:pStyle w:val="FootnoteText"/>
        <w:rPr>
          <w:lang w:val="is-IS"/>
        </w:rPr>
      </w:pPr>
      <w:r>
        <w:rPr>
          <w:lang w:val="is-IS"/>
        </w:rPr>
        <w:t xml:space="preserve"> </w:t>
      </w:r>
    </w:p>
  </w:footnote>
  <w:footnote w:id="2">
    <w:p w14:paraId="33D08295" w14:textId="77777777" w:rsidR="00C45043" w:rsidRPr="00352AE2" w:rsidRDefault="00C45043" w:rsidP="00C4702C">
      <w:pPr>
        <w:pStyle w:val="FootnoteText"/>
        <w:jc w:val="both"/>
        <w:rPr>
          <w:lang w:val="is-IS"/>
        </w:rPr>
      </w:pPr>
      <w:r>
        <w:rPr>
          <w:rStyle w:val="FootnoteReference"/>
        </w:rPr>
        <w:footnoteRef/>
      </w:r>
      <w:r w:rsidRPr="00820BD0">
        <w:rPr>
          <w:lang w:val="is-IS"/>
        </w:rPr>
        <w:t xml:space="preserve"> </w:t>
      </w:r>
      <w:r>
        <w:rPr>
          <w:lang w:val="is-IS"/>
        </w:rPr>
        <w:t>Toluen (C</w:t>
      </w:r>
      <w:r>
        <w:rPr>
          <w:vertAlign w:val="subscript"/>
          <w:lang w:val="is-IS"/>
        </w:rPr>
        <w:t>7</w:t>
      </w:r>
      <w:r>
        <w:rPr>
          <w:lang w:val="is-IS"/>
        </w:rPr>
        <w:t>H</w:t>
      </w:r>
      <w:r>
        <w:rPr>
          <w:vertAlign w:val="subscript"/>
          <w:lang w:val="is-IS"/>
        </w:rPr>
        <w:t>8</w:t>
      </w:r>
      <w:r>
        <w:rPr>
          <w:lang w:val="is-IS"/>
        </w:rPr>
        <w:t xml:space="preserve">) er eitt af uppistöðuefnunum í bensíni, litlaus vökvi, sem meðal annars er notaður í stórum stíl í efnaiðnaði og til að leysa upp eða þynna önnur efni. </w:t>
      </w:r>
    </w:p>
  </w:footnote>
  <w:footnote w:id="3">
    <w:p w14:paraId="33D08296" w14:textId="77777777" w:rsidR="00C45043" w:rsidRPr="003C670E" w:rsidRDefault="00C45043" w:rsidP="00523599">
      <w:pPr>
        <w:pStyle w:val="FootnoteText"/>
        <w:rPr>
          <w:lang w:val="is-IS"/>
        </w:rPr>
      </w:pPr>
      <w:r>
        <w:rPr>
          <w:rStyle w:val="FootnoteReference"/>
        </w:rPr>
        <w:footnoteRef/>
      </w:r>
      <w:r w:rsidRPr="000F65B2">
        <w:rPr>
          <w:lang w:val="nb-NO"/>
        </w:rPr>
        <w:t xml:space="preserve"> B</w:t>
      </w:r>
      <w:r>
        <w:rPr>
          <w:szCs w:val="22"/>
          <w:lang w:val="is-IS"/>
        </w:rPr>
        <w:t>íll er í þessu samhengi skilgreindur sem þungur ef verg þyngd hans er meiri en 3500 kg.</w:t>
      </w:r>
    </w:p>
  </w:footnote>
  <w:footnote w:id="4">
    <w:p w14:paraId="33D08297" w14:textId="77777777" w:rsidR="00C45043" w:rsidRPr="00565CED" w:rsidRDefault="00C45043" w:rsidP="009E66E9">
      <w:pPr>
        <w:pStyle w:val="FootnoteText"/>
        <w:jc w:val="both"/>
        <w:rPr>
          <w:lang w:val="is-IS"/>
        </w:rPr>
      </w:pPr>
      <w:r>
        <w:rPr>
          <w:rStyle w:val="FootnoteReference"/>
        </w:rPr>
        <w:footnoteRef/>
      </w:r>
      <w:r w:rsidRPr="009E66E9">
        <w:rPr>
          <w:lang w:val="is-IS"/>
        </w:rPr>
        <w:t xml:space="preserve"> Það kann að vera álitamál hvort stífni er rétta orðið í þessu sambandi. Norskar verklýsingar nota orðið „stivhet“ fyrir hlutfall festu og sigs en EN-staðlarnir nota „stiffness“ fyrir niðurstöður einásaprófs með sveiflandi álagi.</w:t>
      </w:r>
    </w:p>
  </w:footnote>
  <w:footnote w:id="5">
    <w:p w14:paraId="33D0829A" w14:textId="77777777" w:rsidR="00C45043" w:rsidRPr="00712E43" w:rsidRDefault="00C45043" w:rsidP="0029301E">
      <w:pPr>
        <w:pStyle w:val="FootnoteText"/>
        <w:rPr>
          <w:lang w:val="is-IS"/>
        </w:rPr>
      </w:pPr>
      <w:r>
        <w:rPr>
          <w:rStyle w:val="FootnoteReference"/>
        </w:rPr>
        <w:footnoteRef/>
      </w:r>
      <w:r>
        <w:t xml:space="preserve"> </w:t>
      </w:r>
      <w:r w:rsidRPr="00712E43">
        <w:rPr>
          <w:i/>
          <w:lang w:val="is-IS"/>
        </w:rPr>
        <w:t>Þjöppunarhlutfall;</w:t>
      </w:r>
      <w:r>
        <w:rPr>
          <w:lang w:val="is-IS"/>
        </w:rPr>
        <w:t xml:space="preserve"> á ensku: </w:t>
      </w:r>
      <w:r w:rsidRPr="00712E43">
        <w:rPr>
          <w:i/>
          <w:lang w:val="is-IS"/>
        </w:rPr>
        <w:t>percent of laboratory density.</w:t>
      </w:r>
    </w:p>
  </w:footnote>
  <w:footnote w:id="6">
    <w:p w14:paraId="33D0829B" w14:textId="77777777" w:rsidR="00C45043" w:rsidRPr="005665A0" w:rsidRDefault="00C45043" w:rsidP="0029301E">
      <w:pPr>
        <w:pStyle w:val="FootnoteText"/>
        <w:rPr>
          <w:lang w:val="is-IS"/>
        </w:rPr>
      </w:pPr>
      <w:r>
        <w:rPr>
          <w:rStyle w:val="FootnoteReference"/>
        </w:rPr>
        <w:footnoteRef/>
      </w:r>
      <w:r w:rsidRPr="00E3579C">
        <w:rPr>
          <w:lang w:val="is-IS"/>
        </w:rPr>
        <w:t xml:space="preserve"> </w:t>
      </w:r>
      <w:r w:rsidRPr="005665A0">
        <w:rPr>
          <w:i/>
          <w:lang w:val="is-IS"/>
        </w:rPr>
        <w:t>Eðlisþyngd;</w:t>
      </w:r>
      <w:r>
        <w:rPr>
          <w:lang w:val="is-IS"/>
        </w:rPr>
        <w:t xml:space="preserve"> notað hér sem þýðing á ensku: </w:t>
      </w:r>
      <w:r w:rsidRPr="005665A0">
        <w:rPr>
          <w:i/>
          <w:lang w:val="is-IS"/>
        </w:rPr>
        <w:t>theoritical density.</w:t>
      </w:r>
    </w:p>
  </w:footnote>
  <w:footnote w:id="7">
    <w:p w14:paraId="33D0829C" w14:textId="77777777" w:rsidR="00C45043" w:rsidRPr="005665A0" w:rsidRDefault="00C45043" w:rsidP="0029301E">
      <w:pPr>
        <w:pStyle w:val="FootnoteText"/>
        <w:rPr>
          <w:lang w:val="is-IS"/>
        </w:rPr>
      </w:pPr>
      <w:r>
        <w:rPr>
          <w:rStyle w:val="FootnoteReference"/>
        </w:rPr>
        <w:footnoteRef/>
      </w:r>
      <w:r>
        <w:t xml:space="preserve"> </w:t>
      </w:r>
      <w:r w:rsidRPr="005665A0">
        <w:rPr>
          <w:i/>
          <w:lang w:val="is-IS"/>
        </w:rPr>
        <w:t xml:space="preserve">Höfnunarrúmþyngd; </w:t>
      </w:r>
      <w:r>
        <w:rPr>
          <w:lang w:val="is-IS"/>
        </w:rPr>
        <w:t xml:space="preserve">á ensku: </w:t>
      </w:r>
      <w:r w:rsidRPr="005665A0">
        <w:rPr>
          <w:i/>
          <w:lang w:val="is-IS"/>
        </w:rPr>
        <w:t>percentage refusal density,</w:t>
      </w:r>
      <w:r>
        <w:rPr>
          <w:lang w:val="is-IS"/>
        </w:rPr>
        <w:t xml:space="preserve"> stundum táknað PRD.</w:t>
      </w:r>
    </w:p>
  </w:footnote>
  <w:footnote w:id="8">
    <w:p w14:paraId="33D0829D" w14:textId="77777777" w:rsidR="00C45043" w:rsidRPr="005665A0" w:rsidRDefault="00C45043" w:rsidP="0029301E">
      <w:pPr>
        <w:pStyle w:val="FootnoteText"/>
        <w:rPr>
          <w:lang w:val="is-IS"/>
        </w:rPr>
      </w:pPr>
      <w:r>
        <w:rPr>
          <w:rStyle w:val="FootnoteReference"/>
        </w:rPr>
        <w:footnoteRef/>
      </w:r>
      <w:r>
        <w:t xml:space="preserve"> </w:t>
      </w:r>
      <w:r w:rsidRPr="005665A0">
        <w:rPr>
          <w:i/>
          <w:lang w:val="is-IS"/>
        </w:rPr>
        <w:t>Þjöppun í tilraunakafla;</w:t>
      </w:r>
      <w:r>
        <w:rPr>
          <w:lang w:val="is-IS"/>
        </w:rPr>
        <w:t xml:space="preserve"> notað hér sem þýðing á ensku: </w:t>
      </w:r>
      <w:r w:rsidRPr="005665A0">
        <w:rPr>
          <w:i/>
          <w:lang w:val="is-IS"/>
        </w:rPr>
        <w:t>percent of control strip.</w:t>
      </w:r>
    </w:p>
  </w:footnote>
  <w:footnote w:id="9">
    <w:p w14:paraId="33D0829E" w14:textId="77777777" w:rsidR="00C45043" w:rsidRPr="00893EB8" w:rsidRDefault="00C45043" w:rsidP="0029301E">
      <w:pPr>
        <w:pStyle w:val="FootnoteText"/>
        <w:rPr>
          <w:lang w:val="is-IS"/>
        </w:rPr>
      </w:pPr>
      <w:r>
        <w:rPr>
          <w:rStyle w:val="FootnoteReference"/>
        </w:rPr>
        <w:footnoteRef/>
      </w:r>
      <w:r>
        <w:t xml:space="preserve"> </w:t>
      </w:r>
      <w:r w:rsidRPr="00893EB8">
        <w:rPr>
          <w:i/>
          <w:lang w:val="is-IS"/>
        </w:rPr>
        <w:t>Skil;</w:t>
      </w:r>
      <w:r>
        <w:rPr>
          <w:lang w:val="is-IS"/>
        </w:rPr>
        <w:t xml:space="preserve"> á ensku: </w:t>
      </w:r>
      <w:r w:rsidRPr="00893EB8">
        <w:rPr>
          <w:i/>
          <w:lang w:val="is-IS"/>
        </w:rPr>
        <w:t>performance.</w:t>
      </w:r>
    </w:p>
  </w:footnote>
  <w:footnote w:id="10">
    <w:p w14:paraId="33D0829F" w14:textId="77777777" w:rsidR="00C45043" w:rsidRPr="00893EB8" w:rsidRDefault="00C45043" w:rsidP="0029301E">
      <w:pPr>
        <w:pStyle w:val="FootnoteText"/>
        <w:rPr>
          <w:lang w:val="is-IS"/>
        </w:rPr>
      </w:pPr>
      <w:r>
        <w:rPr>
          <w:rStyle w:val="FootnoteReference"/>
        </w:rPr>
        <w:footnoteRef/>
      </w:r>
      <w:r>
        <w:t xml:space="preserve"> </w:t>
      </w:r>
      <w:r w:rsidRPr="00893EB8">
        <w:rPr>
          <w:i/>
          <w:lang w:val="is-IS"/>
        </w:rPr>
        <w:t>Skrið;</w:t>
      </w:r>
      <w:r>
        <w:rPr>
          <w:lang w:val="is-IS"/>
        </w:rPr>
        <w:t xml:space="preserve"> á ensku: </w:t>
      </w:r>
      <w:r w:rsidRPr="00893EB8">
        <w:rPr>
          <w:i/>
          <w:lang w:val="is-IS"/>
        </w:rPr>
        <w:t>deformation.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08290" w14:textId="78F07A3F" w:rsidR="00C45043" w:rsidRPr="007C00F4" w:rsidRDefault="00C45043" w:rsidP="007C00F4">
    <w:pPr>
      <w:pStyle w:val="Header"/>
      <w:pBdr>
        <w:bottom w:val="single" w:sz="4" w:space="1" w:color="auto"/>
      </w:pBdr>
      <w:tabs>
        <w:tab w:val="clear" w:pos="8640"/>
        <w:tab w:val="right" w:pos="8379"/>
      </w:tabs>
      <w:ind w:right="29"/>
      <w:rPr>
        <w:lang w:val="is-IS"/>
      </w:rPr>
    </w:pPr>
    <w:r>
      <w:rPr>
        <w:lang w:val="is-IS"/>
      </w:rPr>
      <w:t>Viðauki 8</w:t>
    </w:r>
    <w:r>
      <w:rPr>
        <w:lang w:val="is-IS"/>
      </w:rPr>
      <w:tab/>
    </w:r>
    <w:r>
      <w:rPr>
        <w:lang w:val="is-IS"/>
      </w:rPr>
      <w:tab/>
      <w:t>Janúar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16400"/>
    <w:multiLevelType w:val="hybridMultilevel"/>
    <w:tmpl w:val="57EA2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FA3E88"/>
    <w:multiLevelType w:val="hybridMultilevel"/>
    <w:tmpl w:val="56B03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D621B8"/>
    <w:multiLevelType w:val="multilevel"/>
    <w:tmpl w:val="232A4528"/>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253B76BE"/>
    <w:multiLevelType w:val="hybridMultilevel"/>
    <w:tmpl w:val="6F9ABF18"/>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4" w15:restartNumberingAfterBreak="0">
    <w:nsid w:val="338F1F9A"/>
    <w:multiLevelType w:val="hybridMultilevel"/>
    <w:tmpl w:val="1836364E"/>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5" w15:restartNumberingAfterBreak="0">
    <w:nsid w:val="366C12D1"/>
    <w:multiLevelType w:val="hybridMultilevel"/>
    <w:tmpl w:val="2F2ACE92"/>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6" w15:restartNumberingAfterBreak="0">
    <w:nsid w:val="45132C5A"/>
    <w:multiLevelType w:val="hybridMultilevel"/>
    <w:tmpl w:val="58E23B3A"/>
    <w:lvl w:ilvl="0" w:tplc="0409000F">
      <w:start w:val="1"/>
      <w:numFmt w:val="decimal"/>
      <w:lvlText w:val="%1."/>
      <w:lvlJc w:val="left"/>
      <w:pPr>
        <w:tabs>
          <w:tab w:val="num" w:pos="531"/>
        </w:tabs>
        <w:ind w:left="531"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FB50BC"/>
    <w:multiLevelType w:val="hybridMultilevel"/>
    <w:tmpl w:val="09B6CAB8"/>
    <w:lvl w:ilvl="0" w:tplc="3390716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9301564"/>
    <w:multiLevelType w:val="hybridMultilevel"/>
    <w:tmpl w:val="AD16C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990ACE"/>
    <w:multiLevelType w:val="hybridMultilevel"/>
    <w:tmpl w:val="6DC8F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CE55E4"/>
    <w:multiLevelType w:val="hybridMultilevel"/>
    <w:tmpl w:val="8318D64A"/>
    <w:lvl w:ilvl="0" w:tplc="33907166">
      <w:start w:val="1"/>
      <w:numFmt w:val="lowerLetter"/>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B1568A"/>
    <w:multiLevelType w:val="hybridMultilevel"/>
    <w:tmpl w:val="2A846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D973B2"/>
    <w:multiLevelType w:val="hybridMultilevel"/>
    <w:tmpl w:val="749ACB02"/>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num w:numId="1">
    <w:abstractNumId w:val="2"/>
  </w:num>
  <w:num w:numId="2">
    <w:abstractNumId w:val="3"/>
  </w:num>
  <w:num w:numId="3">
    <w:abstractNumId w:val="0"/>
  </w:num>
  <w:num w:numId="4">
    <w:abstractNumId w:val="8"/>
  </w:num>
  <w:num w:numId="5">
    <w:abstractNumId w:val="5"/>
  </w:num>
  <w:num w:numId="6">
    <w:abstractNumId w:val="10"/>
  </w:num>
  <w:num w:numId="7">
    <w:abstractNumId w:val="7"/>
  </w:num>
  <w:num w:numId="8">
    <w:abstractNumId w:val="9"/>
  </w:num>
  <w:num w:numId="9">
    <w:abstractNumId w:val="4"/>
  </w:num>
  <w:num w:numId="10">
    <w:abstractNumId w:val="11"/>
  </w:num>
  <w:num w:numId="11">
    <w:abstractNumId w:val="1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71"/>
  <w:drawingGridVerticalSpacing w:val="23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F4"/>
    <w:rsid w:val="0000703D"/>
    <w:rsid w:val="00012AEB"/>
    <w:rsid w:val="00014EE5"/>
    <w:rsid w:val="00020591"/>
    <w:rsid w:val="00054DFB"/>
    <w:rsid w:val="000561DB"/>
    <w:rsid w:val="00062A51"/>
    <w:rsid w:val="00077999"/>
    <w:rsid w:val="0008290B"/>
    <w:rsid w:val="000832F6"/>
    <w:rsid w:val="00083D0D"/>
    <w:rsid w:val="00085509"/>
    <w:rsid w:val="00091F70"/>
    <w:rsid w:val="000A2BAA"/>
    <w:rsid w:val="000A4FDD"/>
    <w:rsid w:val="000A7DC3"/>
    <w:rsid w:val="000C3E1D"/>
    <w:rsid w:val="000C54A1"/>
    <w:rsid w:val="000C55CC"/>
    <w:rsid w:val="000D3C22"/>
    <w:rsid w:val="000D4CB0"/>
    <w:rsid w:val="000D57F3"/>
    <w:rsid w:val="000E198B"/>
    <w:rsid w:val="000E56CF"/>
    <w:rsid w:val="000E70F0"/>
    <w:rsid w:val="0010207B"/>
    <w:rsid w:val="001044F8"/>
    <w:rsid w:val="00105B08"/>
    <w:rsid w:val="00106FB5"/>
    <w:rsid w:val="001211D7"/>
    <w:rsid w:val="001258A8"/>
    <w:rsid w:val="00137758"/>
    <w:rsid w:val="00172D7A"/>
    <w:rsid w:val="0017356E"/>
    <w:rsid w:val="00173C9D"/>
    <w:rsid w:val="00180CA5"/>
    <w:rsid w:val="00183D3E"/>
    <w:rsid w:val="00187A2A"/>
    <w:rsid w:val="00197033"/>
    <w:rsid w:val="001B37F3"/>
    <w:rsid w:val="001C1FE0"/>
    <w:rsid w:val="001C45E6"/>
    <w:rsid w:val="001D10CA"/>
    <w:rsid w:val="001D372D"/>
    <w:rsid w:val="001D42D2"/>
    <w:rsid w:val="001E6438"/>
    <w:rsid w:val="001F0FB6"/>
    <w:rsid w:val="00204F11"/>
    <w:rsid w:val="0020501C"/>
    <w:rsid w:val="00205F90"/>
    <w:rsid w:val="0022536D"/>
    <w:rsid w:val="002340C0"/>
    <w:rsid w:val="0023451A"/>
    <w:rsid w:val="00235083"/>
    <w:rsid w:val="00235F14"/>
    <w:rsid w:val="00252C1B"/>
    <w:rsid w:val="00260176"/>
    <w:rsid w:val="00262221"/>
    <w:rsid w:val="0026252C"/>
    <w:rsid w:val="00286A90"/>
    <w:rsid w:val="00286C2F"/>
    <w:rsid w:val="002911C1"/>
    <w:rsid w:val="0029168A"/>
    <w:rsid w:val="0029301E"/>
    <w:rsid w:val="002A03FF"/>
    <w:rsid w:val="002A29DA"/>
    <w:rsid w:val="002A369A"/>
    <w:rsid w:val="002A6491"/>
    <w:rsid w:val="002C1F5E"/>
    <w:rsid w:val="002E1B43"/>
    <w:rsid w:val="002E5729"/>
    <w:rsid w:val="00303F20"/>
    <w:rsid w:val="003246FD"/>
    <w:rsid w:val="003260B9"/>
    <w:rsid w:val="0033530B"/>
    <w:rsid w:val="00336906"/>
    <w:rsid w:val="00340CB6"/>
    <w:rsid w:val="003513D9"/>
    <w:rsid w:val="003539E9"/>
    <w:rsid w:val="00364659"/>
    <w:rsid w:val="00380442"/>
    <w:rsid w:val="003A24A7"/>
    <w:rsid w:val="003A7F1F"/>
    <w:rsid w:val="003B1F1A"/>
    <w:rsid w:val="003B5D67"/>
    <w:rsid w:val="003E0BF2"/>
    <w:rsid w:val="003E3EF9"/>
    <w:rsid w:val="003E6693"/>
    <w:rsid w:val="003F17BF"/>
    <w:rsid w:val="00415AF9"/>
    <w:rsid w:val="00415B0D"/>
    <w:rsid w:val="004176AD"/>
    <w:rsid w:val="004204FE"/>
    <w:rsid w:val="0042144A"/>
    <w:rsid w:val="0042385D"/>
    <w:rsid w:val="004251E5"/>
    <w:rsid w:val="00427CEF"/>
    <w:rsid w:val="00441FBC"/>
    <w:rsid w:val="00443091"/>
    <w:rsid w:val="0045400B"/>
    <w:rsid w:val="00457898"/>
    <w:rsid w:val="00463C58"/>
    <w:rsid w:val="00465AE6"/>
    <w:rsid w:val="00470622"/>
    <w:rsid w:val="0048232B"/>
    <w:rsid w:val="004866E6"/>
    <w:rsid w:val="00487B7E"/>
    <w:rsid w:val="004B4D46"/>
    <w:rsid w:val="004C0974"/>
    <w:rsid w:val="004D7B8A"/>
    <w:rsid w:val="004E0D12"/>
    <w:rsid w:val="004E12CF"/>
    <w:rsid w:val="004E2B56"/>
    <w:rsid w:val="004E66CE"/>
    <w:rsid w:val="005016EE"/>
    <w:rsid w:val="00504211"/>
    <w:rsid w:val="00516476"/>
    <w:rsid w:val="00523599"/>
    <w:rsid w:val="00533B84"/>
    <w:rsid w:val="0054524C"/>
    <w:rsid w:val="0054726C"/>
    <w:rsid w:val="00552B76"/>
    <w:rsid w:val="005546A0"/>
    <w:rsid w:val="0056068D"/>
    <w:rsid w:val="00563628"/>
    <w:rsid w:val="00572ED3"/>
    <w:rsid w:val="00577261"/>
    <w:rsid w:val="00581E01"/>
    <w:rsid w:val="00586F94"/>
    <w:rsid w:val="005A2CC1"/>
    <w:rsid w:val="005A43DB"/>
    <w:rsid w:val="005B4BA7"/>
    <w:rsid w:val="005B5529"/>
    <w:rsid w:val="005B7D32"/>
    <w:rsid w:val="005C1047"/>
    <w:rsid w:val="005C42F7"/>
    <w:rsid w:val="005D0B26"/>
    <w:rsid w:val="005D780A"/>
    <w:rsid w:val="005E1B30"/>
    <w:rsid w:val="005E49DA"/>
    <w:rsid w:val="00601A20"/>
    <w:rsid w:val="00611FD5"/>
    <w:rsid w:val="006124EB"/>
    <w:rsid w:val="00613DCF"/>
    <w:rsid w:val="00624784"/>
    <w:rsid w:val="00632680"/>
    <w:rsid w:val="00636F2D"/>
    <w:rsid w:val="0064484E"/>
    <w:rsid w:val="00660FBB"/>
    <w:rsid w:val="006653A0"/>
    <w:rsid w:val="00670514"/>
    <w:rsid w:val="006709F0"/>
    <w:rsid w:val="00681418"/>
    <w:rsid w:val="00683450"/>
    <w:rsid w:val="006853DE"/>
    <w:rsid w:val="006868A9"/>
    <w:rsid w:val="006A29E6"/>
    <w:rsid w:val="006D2859"/>
    <w:rsid w:val="006D4810"/>
    <w:rsid w:val="006E3236"/>
    <w:rsid w:val="006F2ED7"/>
    <w:rsid w:val="006F709E"/>
    <w:rsid w:val="00705575"/>
    <w:rsid w:val="00706364"/>
    <w:rsid w:val="007069D9"/>
    <w:rsid w:val="007069EC"/>
    <w:rsid w:val="00707725"/>
    <w:rsid w:val="0071497D"/>
    <w:rsid w:val="00725795"/>
    <w:rsid w:val="007343AD"/>
    <w:rsid w:val="0074241B"/>
    <w:rsid w:val="00754A53"/>
    <w:rsid w:val="00756ED2"/>
    <w:rsid w:val="00766C10"/>
    <w:rsid w:val="007768DA"/>
    <w:rsid w:val="007816E2"/>
    <w:rsid w:val="00782C15"/>
    <w:rsid w:val="00794701"/>
    <w:rsid w:val="007A51B5"/>
    <w:rsid w:val="007A5B4F"/>
    <w:rsid w:val="007B113D"/>
    <w:rsid w:val="007B132D"/>
    <w:rsid w:val="007B1DF4"/>
    <w:rsid w:val="007B4108"/>
    <w:rsid w:val="007B61F4"/>
    <w:rsid w:val="007C00F4"/>
    <w:rsid w:val="007C2A78"/>
    <w:rsid w:val="007D16F1"/>
    <w:rsid w:val="007D5AF1"/>
    <w:rsid w:val="007D60AA"/>
    <w:rsid w:val="007E5461"/>
    <w:rsid w:val="007E6712"/>
    <w:rsid w:val="007E710C"/>
    <w:rsid w:val="007F2388"/>
    <w:rsid w:val="007F5D29"/>
    <w:rsid w:val="00800F45"/>
    <w:rsid w:val="00807E7C"/>
    <w:rsid w:val="008234B0"/>
    <w:rsid w:val="008356CA"/>
    <w:rsid w:val="008412FD"/>
    <w:rsid w:val="00841EBD"/>
    <w:rsid w:val="00843AB8"/>
    <w:rsid w:val="0085287D"/>
    <w:rsid w:val="00855F56"/>
    <w:rsid w:val="00865FE2"/>
    <w:rsid w:val="00866461"/>
    <w:rsid w:val="00866D0B"/>
    <w:rsid w:val="00880797"/>
    <w:rsid w:val="00883689"/>
    <w:rsid w:val="0088527E"/>
    <w:rsid w:val="008946B9"/>
    <w:rsid w:val="008A1453"/>
    <w:rsid w:val="008A169C"/>
    <w:rsid w:val="008B23FF"/>
    <w:rsid w:val="008B2EB5"/>
    <w:rsid w:val="008B3071"/>
    <w:rsid w:val="008C1137"/>
    <w:rsid w:val="008C2BA8"/>
    <w:rsid w:val="008C5975"/>
    <w:rsid w:val="008C5DF0"/>
    <w:rsid w:val="008C767D"/>
    <w:rsid w:val="008D48EA"/>
    <w:rsid w:val="008E37B6"/>
    <w:rsid w:val="008E617E"/>
    <w:rsid w:val="008F049C"/>
    <w:rsid w:val="008F2178"/>
    <w:rsid w:val="00920250"/>
    <w:rsid w:val="00920E95"/>
    <w:rsid w:val="009217C9"/>
    <w:rsid w:val="0093309E"/>
    <w:rsid w:val="0093446A"/>
    <w:rsid w:val="0094317B"/>
    <w:rsid w:val="00946DD5"/>
    <w:rsid w:val="00951EE1"/>
    <w:rsid w:val="009531BA"/>
    <w:rsid w:val="0095352D"/>
    <w:rsid w:val="00955D8D"/>
    <w:rsid w:val="00962F11"/>
    <w:rsid w:val="00964178"/>
    <w:rsid w:val="00971F61"/>
    <w:rsid w:val="00975A56"/>
    <w:rsid w:val="009B0817"/>
    <w:rsid w:val="009B654A"/>
    <w:rsid w:val="009C386E"/>
    <w:rsid w:val="009C47F9"/>
    <w:rsid w:val="009C4BCD"/>
    <w:rsid w:val="009C5F3E"/>
    <w:rsid w:val="009D060A"/>
    <w:rsid w:val="009E19AD"/>
    <w:rsid w:val="009E208C"/>
    <w:rsid w:val="009E50FB"/>
    <w:rsid w:val="009E66E9"/>
    <w:rsid w:val="009F6594"/>
    <w:rsid w:val="00A11DC6"/>
    <w:rsid w:val="00A12F9A"/>
    <w:rsid w:val="00A14735"/>
    <w:rsid w:val="00A15634"/>
    <w:rsid w:val="00A238BE"/>
    <w:rsid w:val="00A25FF3"/>
    <w:rsid w:val="00A272C1"/>
    <w:rsid w:val="00A33062"/>
    <w:rsid w:val="00A54DB3"/>
    <w:rsid w:val="00A5799E"/>
    <w:rsid w:val="00A57EF7"/>
    <w:rsid w:val="00A64EF2"/>
    <w:rsid w:val="00A717FA"/>
    <w:rsid w:val="00A74E42"/>
    <w:rsid w:val="00A7635A"/>
    <w:rsid w:val="00A76ABC"/>
    <w:rsid w:val="00A77263"/>
    <w:rsid w:val="00A843B6"/>
    <w:rsid w:val="00A87793"/>
    <w:rsid w:val="00AA7976"/>
    <w:rsid w:val="00AC28F6"/>
    <w:rsid w:val="00AC4233"/>
    <w:rsid w:val="00AD35CC"/>
    <w:rsid w:val="00AE5309"/>
    <w:rsid w:val="00AF18DA"/>
    <w:rsid w:val="00AF37CF"/>
    <w:rsid w:val="00B01C2B"/>
    <w:rsid w:val="00B03A43"/>
    <w:rsid w:val="00B158EE"/>
    <w:rsid w:val="00B15AC3"/>
    <w:rsid w:val="00B17240"/>
    <w:rsid w:val="00B17D00"/>
    <w:rsid w:val="00B20778"/>
    <w:rsid w:val="00B22412"/>
    <w:rsid w:val="00B25A3B"/>
    <w:rsid w:val="00B27C59"/>
    <w:rsid w:val="00B303B7"/>
    <w:rsid w:val="00B34457"/>
    <w:rsid w:val="00B34897"/>
    <w:rsid w:val="00B456D7"/>
    <w:rsid w:val="00B45B7E"/>
    <w:rsid w:val="00B54182"/>
    <w:rsid w:val="00B55A89"/>
    <w:rsid w:val="00B7128D"/>
    <w:rsid w:val="00B825CF"/>
    <w:rsid w:val="00B85809"/>
    <w:rsid w:val="00BA1293"/>
    <w:rsid w:val="00BA1906"/>
    <w:rsid w:val="00BB137E"/>
    <w:rsid w:val="00BB1B9E"/>
    <w:rsid w:val="00BC46BA"/>
    <w:rsid w:val="00BD1602"/>
    <w:rsid w:val="00BD5F36"/>
    <w:rsid w:val="00BD6979"/>
    <w:rsid w:val="00BE57FC"/>
    <w:rsid w:val="00BF1A36"/>
    <w:rsid w:val="00BF5A02"/>
    <w:rsid w:val="00C061BC"/>
    <w:rsid w:val="00C065A1"/>
    <w:rsid w:val="00C10A88"/>
    <w:rsid w:val="00C15688"/>
    <w:rsid w:val="00C221BD"/>
    <w:rsid w:val="00C23ADF"/>
    <w:rsid w:val="00C360E5"/>
    <w:rsid w:val="00C37CCE"/>
    <w:rsid w:val="00C45043"/>
    <w:rsid w:val="00C45C92"/>
    <w:rsid w:val="00C46505"/>
    <w:rsid w:val="00C4702C"/>
    <w:rsid w:val="00C50ABA"/>
    <w:rsid w:val="00C530F4"/>
    <w:rsid w:val="00C556B0"/>
    <w:rsid w:val="00C607C9"/>
    <w:rsid w:val="00C64A94"/>
    <w:rsid w:val="00C76605"/>
    <w:rsid w:val="00C80309"/>
    <w:rsid w:val="00C8064E"/>
    <w:rsid w:val="00C8396B"/>
    <w:rsid w:val="00C86643"/>
    <w:rsid w:val="00C92BA6"/>
    <w:rsid w:val="00C94057"/>
    <w:rsid w:val="00C94339"/>
    <w:rsid w:val="00C94C87"/>
    <w:rsid w:val="00C96315"/>
    <w:rsid w:val="00C96A21"/>
    <w:rsid w:val="00CB3505"/>
    <w:rsid w:val="00CB44F2"/>
    <w:rsid w:val="00CB4BAD"/>
    <w:rsid w:val="00CC1684"/>
    <w:rsid w:val="00CD08F4"/>
    <w:rsid w:val="00CE26C4"/>
    <w:rsid w:val="00CE6693"/>
    <w:rsid w:val="00CF6342"/>
    <w:rsid w:val="00D024B3"/>
    <w:rsid w:val="00D04B39"/>
    <w:rsid w:val="00D14E7C"/>
    <w:rsid w:val="00D15F2F"/>
    <w:rsid w:val="00D15FAD"/>
    <w:rsid w:val="00D16DFE"/>
    <w:rsid w:val="00D223BA"/>
    <w:rsid w:val="00D244ED"/>
    <w:rsid w:val="00D31BCD"/>
    <w:rsid w:val="00D44613"/>
    <w:rsid w:val="00D6101F"/>
    <w:rsid w:val="00D62BB4"/>
    <w:rsid w:val="00D97204"/>
    <w:rsid w:val="00DB6270"/>
    <w:rsid w:val="00DC0665"/>
    <w:rsid w:val="00DC2DEE"/>
    <w:rsid w:val="00DD3D3B"/>
    <w:rsid w:val="00DD488B"/>
    <w:rsid w:val="00DD4C51"/>
    <w:rsid w:val="00DD569A"/>
    <w:rsid w:val="00DE44A0"/>
    <w:rsid w:val="00DE5F27"/>
    <w:rsid w:val="00DF41A7"/>
    <w:rsid w:val="00DF6AEE"/>
    <w:rsid w:val="00E01459"/>
    <w:rsid w:val="00E066BD"/>
    <w:rsid w:val="00E06789"/>
    <w:rsid w:val="00E162B8"/>
    <w:rsid w:val="00E17B80"/>
    <w:rsid w:val="00E252CB"/>
    <w:rsid w:val="00E32A0E"/>
    <w:rsid w:val="00E330AC"/>
    <w:rsid w:val="00E36F99"/>
    <w:rsid w:val="00E450AA"/>
    <w:rsid w:val="00E57041"/>
    <w:rsid w:val="00E62F0F"/>
    <w:rsid w:val="00E65ADA"/>
    <w:rsid w:val="00E718F0"/>
    <w:rsid w:val="00E74691"/>
    <w:rsid w:val="00E77E4B"/>
    <w:rsid w:val="00E81FC3"/>
    <w:rsid w:val="00E86B13"/>
    <w:rsid w:val="00E921CA"/>
    <w:rsid w:val="00E93724"/>
    <w:rsid w:val="00EA0138"/>
    <w:rsid w:val="00EA131A"/>
    <w:rsid w:val="00EB3B8F"/>
    <w:rsid w:val="00EB7660"/>
    <w:rsid w:val="00EC34A5"/>
    <w:rsid w:val="00EC64FE"/>
    <w:rsid w:val="00ED3AB2"/>
    <w:rsid w:val="00EE4D8A"/>
    <w:rsid w:val="00EE5752"/>
    <w:rsid w:val="00EF2EDF"/>
    <w:rsid w:val="00EF52B1"/>
    <w:rsid w:val="00EF5ED3"/>
    <w:rsid w:val="00EF5FCF"/>
    <w:rsid w:val="00F01789"/>
    <w:rsid w:val="00F23386"/>
    <w:rsid w:val="00F23FE1"/>
    <w:rsid w:val="00F423B4"/>
    <w:rsid w:val="00F70980"/>
    <w:rsid w:val="00F74C0A"/>
    <w:rsid w:val="00F86F17"/>
    <w:rsid w:val="00F87196"/>
    <w:rsid w:val="00F919FD"/>
    <w:rsid w:val="00F9394D"/>
    <w:rsid w:val="00F95D7D"/>
    <w:rsid w:val="00FA1DB8"/>
    <w:rsid w:val="00FA3527"/>
    <w:rsid w:val="00FA3F99"/>
    <w:rsid w:val="00FA75F3"/>
    <w:rsid w:val="00FB287E"/>
    <w:rsid w:val="00FB4363"/>
    <w:rsid w:val="00FB7F2C"/>
    <w:rsid w:val="00FC3221"/>
    <w:rsid w:val="00FD4B1A"/>
    <w:rsid w:val="00FD5047"/>
    <w:rsid w:val="00FD533C"/>
    <w:rsid w:val="00FE09F0"/>
    <w:rsid w:val="00FF0BC9"/>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07AF9"/>
  <w15:chartTrackingRefBased/>
  <w15:docId w15:val="{7E1E761D-A4E9-4E2C-93B8-72E557EE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s-IS" w:eastAsia="is-I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2CB"/>
    <w:pPr>
      <w:overflowPunct w:val="0"/>
      <w:autoSpaceDE w:val="0"/>
      <w:autoSpaceDN w:val="0"/>
      <w:adjustRightInd w:val="0"/>
      <w:textAlignment w:val="baseline"/>
    </w:pPr>
    <w:rPr>
      <w:sz w:val="22"/>
      <w:lang w:val="en-GB" w:eastAsia="en-US"/>
    </w:rPr>
  </w:style>
  <w:style w:type="paragraph" w:styleId="Heading1">
    <w:name w:val="heading 1"/>
    <w:basedOn w:val="Normal"/>
    <w:next w:val="Normal"/>
    <w:qFormat/>
    <w:rsid w:val="00286A90"/>
    <w:pPr>
      <w:keepNext/>
      <w:numPr>
        <w:numId w:val="1"/>
      </w:numPr>
      <w:spacing w:before="240" w:after="60"/>
      <w:outlineLvl w:val="0"/>
    </w:pPr>
    <w:rPr>
      <w:rFonts w:ascii="Arial" w:hAnsi="Arial"/>
      <w:b/>
      <w:kern w:val="32"/>
      <w:sz w:val="32"/>
    </w:rPr>
  </w:style>
  <w:style w:type="paragraph" w:styleId="Heading2">
    <w:name w:val="heading 2"/>
    <w:basedOn w:val="Normal"/>
    <w:next w:val="Normal"/>
    <w:link w:val="Heading2Char"/>
    <w:qFormat/>
    <w:rsid w:val="00286A90"/>
    <w:pPr>
      <w:keepNext/>
      <w:numPr>
        <w:ilvl w:val="1"/>
        <w:numId w:val="1"/>
      </w:numPr>
      <w:spacing w:before="240" w:after="60"/>
      <w:outlineLvl w:val="1"/>
    </w:pPr>
    <w:rPr>
      <w:rFonts w:ascii="Arial" w:hAnsi="Arial"/>
      <w:b/>
      <w:i/>
      <w:sz w:val="28"/>
    </w:rPr>
  </w:style>
  <w:style w:type="paragraph" w:styleId="Heading3">
    <w:name w:val="heading 3"/>
    <w:basedOn w:val="Normal"/>
    <w:next w:val="Normal"/>
    <w:qFormat/>
    <w:rsid w:val="00286A90"/>
    <w:pPr>
      <w:keepNext/>
      <w:numPr>
        <w:ilvl w:val="2"/>
        <w:numId w:val="1"/>
      </w:numPr>
      <w:spacing w:before="240" w:after="60"/>
      <w:outlineLvl w:val="2"/>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Heading1"/>
    <w:rsid w:val="00286A90"/>
  </w:style>
  <w:style w:type="paragraph" w:styleId="Header">
    <w:name w:val="header"/>
    <w:basedOn w:val="Normal"/>
    <w:rsid w:val="007C00F4"/>
    <w:pPr>
      <w:tabs>
        <w:tab w:val="center" w:pos="4320"/>
        <w:tab w:val="right" w:pos="8640"/>
      </w:tabs>
    </w:pPr>
  </w:style>
  <w:style w:type="paragraph" w:styleId="Footer">
    <w:name w:val="footer"/>
    <w:basedOn w:val="Normal"/>
    <w:rsid w:val="007C00F4"/>
    <w:pPr>
      <w:tabs>
        <w:tab w:val="center" w:pos="4320"/>
        <w:tab w:val="right" w:pos="8640"/>
      </w:tabs>
    </w:pPr>
  </w:style>
  <w:style w:type="character" w:styleId="PageNumber">
    <w:name w:val="page number"/>
    <w:basedOn w:val="DefaultParagraphFont"/>
    <w:rsid w:val="007C00F4"/>
  </w:style>
  <w:style w:type="paragraph" w:styleId="FootnoteText">
    <w:name w:val="footnote text"/>
    <w:basedOn w:val="Normal"/>
    <w:semiHidden/>
    <w:rsid w:val="00DD488B"/>
    <w:rPr>
      <w:sz w:val="20"/>
    </w:rPr>
  </w:style>
  <w:style w:type="character" w:styleId="FootnoteReference">
    <w:name w:val="footnote reference"/>
    <w:basedOn w:val="DefaultParagraphFont"/>
    <w:semiHidden/>
    <w:rsid w:val="00DD488B"/>
    <w:rPr>
      <w:vertAlign w:val="superscript"/>
    </w:rPr>
  </w:style>
  <w:style w:type="table" w:styleId="TableGrid">
    <w:name w:val="Table Grid"/>
    <w:basedOn w:val="TableNormal"/>
    <w:rsid w:val="00DD488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D488B"/>
    <w:rPr>
      <w:color w:val="0000FF"/>
      <w:u w:val="single"/>
    </w:rPr>
  </w:style>
  <w:style w:type="paragraph" w:styleId="BalloonText">
    <w:name w:val="Balloon Text"/>
    <w:basedOn w:val="Normal"/>
    <w:semiHidden/>
    <w:rsid w:val="00DD488B"/>
    <w:rPr>
      <w:rFonts w:ascii="Tahoma" w:hAnsi="Tahoma" w:cs="Tahoma"/>
      <w:sz w:val="16"/>
      <w:szCs w:val="16"/>
    </w:rPr>
  </w:style>
  <w:style w:type="paragraph" w:styleId="TOCHeading">
    <w:name w:val="TOC Heading"/>
    <w:basedOn w:val="Heading1"/>
    <w:next w:val="Normal"/>
    <w:uiPriority w:val="39"/>
    <w:unhideWhenUsed/>
    <w:qFormat/>
    <w:rsid w:val="00E81FC3"/>
    <w:pPr>
      <w:keepLines/>
      <w:numPr>
        <w:numId w:val="0"/>
      </w:numPr>
      <w:overflowPunct/>
      <w:autoSpaceDE/>
      <w:autoSpaceDN/>
      <w:adjustRightInd/>
      <w:spacing w:after="0" w:line="259" w:lineRule="auto"/>
      <w:textAlignment w:val="auto"/>
      <w:outlineLvl w:val="9"/>
    </w:pPr>
    <w:rPr>
      <w:rFonts w:asciiTheme="majorHAnsi" w:eastAsiaTheme="majorEastAsia" w:hAnsiTheme="majorHAnsi" w:cstheme="majorBidi"/>
      <w:b w:val="0"/>
      <w:color w:val="2E74B5" w:themeColor="accent1" w:themeShade="BF"/>
      <w:kern w:val="0"/>
      <w:szCs w:val="32"/>
      <w:lang w:val="en-US"/>
    </w:rPr>
  </w:style>
  <w:style w:type="paragraph" w:styleId="TOC1">
    <w:name w:val="toc 1"/>
    <w:basedOn w:val="Normal"/>
    <w:next w:val="Normal"/>
    <w:autoRedefine/>
    <w:uiPriority w:val="39"/>
    <w:unhideWhenUsed/>
    <w:rsid w:val="00E81FC3"/>
    <w:pPr>
      <w:spacing w:after="100"/>
    </w:pPr>
  </w:style>
  <w:style w:type="paragraph" w:styleId="TOC2">
    <w:name w:val="toc 2"/>
    <w:basedOn w:val="Normal"/>
    <w:next w:val="Normal"/>
    <w:autoRedefine/>
    <w:uiPriority w:val="39"/>
    <w:unhideWhenUsed/>
    <w:rsid w:val="00E81FC3"/>
    <w:pPr>
      <w:spacing w:after="100"/>
      <w:ind w:left="220"/>
    </w:pPr>
  </w:style>
  <w:style w:type="character" w:styleId="FollowedHyperlink">
    <w:name w:val="FollowedHyperlink"/>
    <w:basedOn w:val="DefaultParagraphFont"/>
    <w:uiPriority w:val="99"/>
    <w:semiHidden/>
    <w:unhideWhenUsed/>
    <w:rsid w:val="006A29E6"/>
    <w:rPr>
      <w:color w:val="954F72" w:themeColor="followedHyperlink"/>
      <w:u w:val="single"/>
    </w:rPr>
  </w:style>
  <w:style w:type="character" w:customStyle="1" w:styleId="Heading2Char">
    <w:name w:val="Heading 2 Char"/>
    <w:basedOn w:val="DefaultParagraphFont"/>
    <w:link w:val="Heading2"/>
    <w:rsid w:val="007B4108"/>
    <w:rPr>
      <w:rFonts w:ascii="Arial" w:hAnsi="Arial"/>
      <w:b/>
      <w:i/>
      <w:sz w:val="28"/>
      <w:lang w:val="en-GB" w:eastAsia="en-US"/>
    </w:rPr>
  </w:style>
  <w:style w:type="paragraph" w:styleId="ListParagraph">
    <w:name w:val="List Paragraph"/>
    <w:basedOn w:val="Normal"/>
    <w:uiPriority w:val="34"/>
    <w:qFormat/>
    <w:rsid w:val="00975A56"/>
    <w:pPr>
      <w:ind w:left="720"/>
      <w:contextualSpacing/>
    </w:pPr>
  </w:style>
  <w:style w:type="character" w:styleId="CommentReference">
    <w:name w:val="annotation reference"/>
    <w:basedOn w:val="DefaultParagraphFont"/>
    <w:uiPriority w:val="99"/>
    <w:semiHidden/>
    <w:unhideWhenUsed/>
    <w:rsid w:val="00197033"/>
    <w:rPr>
      <w:sz w:val="16"/>
      <w:szCs w:val="16"/>
    </w:rPr>
  </w:style>
  <w:style w:type="paragraph" w:styleId="CommentText">
    <w:name w:val="annotation text"/>
    <w:basedOn w:val="Normal"/>
    <w:link w:val="CommentTextChar"/>
    <w:uiPriority w:val="99"/>
    <w:semiHidden/>
    <w:unhideWhenUsed/>
    <w:rsid w:val="00197033"/>
    <w:rPr>
      <w:sz w:val="20"/>
    </w:rPr>
  </w:style>
  <w:style w:type="character" w:customStyle="1" w:styleId="CommentTextChar">
    <w:name w:val="Comment Text Char"/>
    <w:basedOn w:val="DefaultParagraphFont"/>
    <w:link w:val="CommentText"/>
    <w:uiPriority w:val="99"/>
    <w:semiHidden/>
    <w:rsid w:val="00197033"/>
    <w:rPr>
      <w:lang w:val="en-GB" w:eastAsia="en-US"/>
    </w:rPr>
  </w:style>
  <w:style w:type="paragraph" w:styleId="CommentSubject">
    <w:name w:val="annotation subject"/>
    <w:basedOn w:val="CommentText"/>
    <w:next w:val="CommentText"/>
    <w:link w:val="CommentSubjectChar"/>
    <w:uiPriority w:val="99"/>
    <w:semiHidden/>
    <w:unhideWhenUsed/>
    <w:rsid w:val="00197033"/>
    <w:rPr>
      <w:b/>
      <w:bCs/>
    </w:rPr>
  </w:style>
  <w:style w:type="character" w:customStyle="1" w:styleId="CommentSubjectChar">
    <w:name w:val="Comment Subject Char"/>
    <w:basedOn w:val="CommentTextChar"/>
    <w:link w:val="CommentSubject"/>
    <w:uiPriority w:val="99"/>
    <w:semiHidden/>
    <w:rsid w:val="00197033"/>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tl.bts.gov/lib/3000/3800/3898/rep90-3.pdf" TargetMode="External"/><Relationship Id="rId17" Type="http://schemas.openxmlformats.org/officeDocument/2006/relationships/hyperlink" Target="http://www.standardsforhighways.co.uk/dmrb/vol7/section5/hd3606.pdf" TargetMode="Externa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441EB-F978-4179-825A-26579D9BA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44</Pages>
  <Words>22486</Words>
  <Characters>128176</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Viðauki 8: Ítarefni um malbik</vt:lpstr>
    </vt:vector>
  </TitlesOfParts>
  <Company>nmi</Company>
  <LinksUpToDate>false</LinksUpToDate>
  <CharactersWithSpaces>150362</CharactersWithSpaces>
  <SharedDoc>false</SharedDoc>
  <HLinks>
    <vt:vector size="18" baseType="variant">
      <vt:variant>
        <vt:i4>7929891</vt:i4>
      </vt:variant>
      <vt:variant>
        <vt:i4>69</vt:i4>
      </vt:variant>
      <vt:variant>
        <vt:i4>0</vt:i4>
      </vt:variant>
      <vt:variant>
        <vt:i4>5</vt:i4>
      </vt:variant>
      <vt:variant>
        <vt:lpwstr>http://www.standardsforhighways.co.uk/dmrb/vol7/section5/hd3606.pdf</vt:lpwstr>
      </vt:variant>
      <vt:variant>
        <vt:lpwstr/>
      </vt:variant>
      <vt:variant>
        <vt:i4>1900626</vt:i4>
      </vt:variant>
      <vt:variant>
        <vt:i4>6</vt:i4>
      </vt:variant>
      <vt:variant>
        <vt:i4>0</vt:i4>
      </vt:variant>
      <vt:variant>
        <vt:i4>5</vt:i4>
      </vt:variant>
      <vt:variant>
        <vt:lpwstr>http://ntl.bts.gov/lib/3000/3800/3898/rep90-3.pdf</vt:lpwstr>
      </vt:variant>
      <vt:variant>
        <vt:lpwstr/>
      </vt:variant>
      <vt:variant>
        <vt:i4>7471200</vt:i4>
      </vt:variant>
      <vt:variant>
        <vt:i4>0</vt:i4>
      </vt:variant>
      <vt:variant>
        <vt:i4>0</vt:i4>
      </vt:variant>
      <vt:variant>
        <vt:i4>5</vt:i4>
      </vt:variant>
      <vt:variant>
        <vt:lpwstr>http://www.vegvesen.no/vegdekke/filer2006/Hb246-asfaltveiledning-2005-12-17.pdf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Viðauki 8: Ítarefni um malbik</dc:title>
  <dc:subject/>
  <dc:creator>AsbjornJ</dc:creator>
  <cp:keywords/>
  <dc:description/>
  <cp:lastModifiedBy>Petur Petursson</cp:lastModifiedBy>
  <cp:revision>156</cp:revision>
  <cp:lastPrinted>2020-10-09T14:22:00Z</cp:lastPrinted>
  <dcterms:created xsi:type="dcterms:W3CDTF">2019-12-17T12:45:00Z</dcterms:created>
  <dcterms:modified xsi:type="dcterms:W3CDTF">2020-10-09T14:22:00Z</dcterms:modified>
</cp:coreProperties>
</file>