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3D01A" w14:textId="654DC111" w:rsidR="00EA023E" w:rsidRPr="00220C65" w:rsidRDefault="001D629B" w:rsidP="00EA023E">
      <w:pPr>
        <w:pStyle w:val="Heading2"/>
        <w:numPr>
          <w:ilvl w:val="0"/>
          <w:numId w:val="0"/>
        </w:numPr>
        <w:jc w:val="center"/>
      </w:pPr>
      <w:bookmarkStart w:id="0" w:name="_Toc52971429"/>
      <w:bookmarkStart w:id="1" w:name="_Toc15878608"/>
      <w:bookmarkStart w:id="2" w:name="_GoBack"/>
      <w:bookmarkEnd w:id="2"/>
      <w:r>
        <w:rPr>
          <w:noProof/>
          <w:lang w:val="en-GB" w:eastAsia="en-GB"/>
        </w:rPr>
        <w:drawing>
          <wp:anchor distT="0" distB="0" distL="114300" distR="114300" simplePos="0" relativeHeight="251669504" behindDoc="0" locked="0" layoutInCell="1" allowOverlap="1" wp14:anchorId="6EFEDD78" wp14:editId="72F49A2A">
            <wp:simplePos x="0" y="0"/>
            <wp:positionH relativeFrom="margin">
              <wp:align>left</wp:align>
            </wp:positionH>
            <wp:positionV relativeFrom="paragraph">
              <wp:posOffset>33655</wp:posOffset>
            </wp:positionV>
            <wp:extent cx="1076400" cy="1076400"/>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764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7F433E59" w14:textId="0A2FC2B8" w:rsidR="009D7586" w:rsidRPr="00B60CCE" w:rsidRDefault="009D7586" w:rsidP="009D7586">
      <w:r w:rsidRPr="00B60CCE">
        <w:tab/>
      </w:r>
      <w:r w:rsidRPr="00B60CCE">
        <w:tab/>
      </w:r>
      <w:r w:rsidRPr="00B60CCE">
        <w:tab/>
      </w:r>
    </w:p>
    <w:p w14:paraId="51BBD26B" w14:textId="77777777" w:rsidR="009D7586" w:rsidRPr="00B60CCE" w:rsidRDefault="009D7586" w:rsidP="009D7586"/>
    <w:p w14:paraId="2D8436E7" w14:textId="5868D4E1" w:rsidR="009D7586" w:rsidRPr="00B60CCE" w:rsidRDefault="00EE2121" w:rsidP="009D7586">
      <w:r w:rsidRPr="00EE2121">
        <w:rPr>
          <w:noProof/>
          <w:lang w:val="en-GB" w:eastAsia="en-GB"/>
        </w:rPr>
        <w:drawing>
          <wp:anchor distT="0" distB="0" distL="114300" distR="114300" simplePos="0" relativeHeight="251667456" behindDoc="0" locked="0" layoutInCell="1" allowOverlap="1" wp14:anchorId="2600C951" wp14:editId="2E2F970A">
            <wp:simplePos x="0" y="0"/>
            <wp:positionH relativeFrom="margin">
              <wp:posOffset>2318385</wp:posOffset>
            </wp:positionH>
            <wp:positionV relativeFrom="paragraph">
              <wp:posOffset>-674370</wp:posOffset>
            </wp:positionV>
            <wp:extent cx="3060000" cy="1076400"/>
            <wp:effectExtent l="19050" t="19050" r="26670" b="9525"/>
            <wp:wrapNone/>
            <wp:docPr id="4" name="Picture 4" descr="C:\Users\gbj\OneDrive - Vegagerðin\Efnisrannsóknir - kröfur\Vinnan 2018-2019\forsíðumy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j\OneDrive - Vegagerðin\Efnisrannsóknir - kröfur\Vinnan 2018-2019\forsíðumy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000" cy="1076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E52CE30" w14:textId="77777777" w:rsidR="00EE2121" w:rsidRDefault="00EE2121" w:rsidP="009D7586">
      <w:pPr>
        <w:jc w:val="center"/>
        <w:rPr>
          <w:sz w:val="36"/>
          <w:szCs w:val="36"/>
        </w:rPr>
      </w:pPr>
    </w:p>
    <w:p w14:paraId="49BD02EB" w14:textId="77777777" w:rsidR="00EE2121" w:rsidRDefault="00EE2121" w:rsidP="009D7586">
      <w:pPr>
        <w:jc w:val="center"/>
        <w:rPr>
          <w:sz w:val="36"/>
          <w:szCs w:val="36"/>
        </w:rPr>
      </w:pPr>
    </w:p>
    <w:p w14:paraId="27ADED2C" w14:textId="03EC4790" w:rsidR="00292920" w:rsidRDefault="00292920" w:rsidP="00A07A52">
      <w:pPr>
        <w:spacing w:after="240"/>
        <w:jc w:val="center"/>
        <w:rPr>
          <w:sz w:val="36"/>
          <w:szCs w:val="36"/>
        </w:rPr>
      </w:pPr>
      <w:r>
        <w:rPr>
          <w:sz w:val="36"/>
          <w:szCs w:val="36"/>
        </w:rPr>
        <w:t>Efnisgæðaritið</w:t>
      </w:r>
    </w:p>
    <w:p w14:paraId="443B0233" w14:textId="74421F0B" w:rsidR="009D7586" w:rsidRPr="00292920" w:rsidRDefault="009D7586" w:rsidP="009D7586">
      <w:pPr>
        <w:jc w:val="center"/>
        <w:rPr>
          <w:sz w:val="32"/>
          <w:szCs w:val="32"/>
        </w:rPr>
      </w:pPr>
      <w:r w:rsidRPr="00292920">
        <w:rPr>
          <w:sz w:val="32"/>
          <w:szCs w:val="32"/>
        </w:rPr>
        <w:t>Efnisrannsóknir og efniskröfur</w:t>
      </w:r>
    </w:p>
    <w:p w14:paraId="26D046E8" w14:textId="77777777" w:rsidR="009D7586" w:rsidRPr="00B60CCE" w:rsidRDefault="009D7586" w:rsidP="009D7586"/>
    <w:p w14:paraId="1F3CE6BC" w14:textId="77777777" w:rsidR="009D7586" w:rsidRPr="00B60CCE" w:rsidRDefault="009D7586" w:rsidP="009D7586">
      <w:pPr>
        <w:jc w:val="center"/>
        <w:rPr>
          <w:sz w:val="28"/>
          <w:szCs w:val="28"/>
        </w:rPr>
      </w:pPr>
      <w:r w:rsidRPr="00B60CCE">
        <w:rPr>
          <w:sz w:val="28"/>
          <w:szCs w:val="28"/>
        </w:rPr>
        <w:t>Leiðbeiningar við hönnun, framleiðslu og framkvæmd</w:t>
      </w:r>
    </w:p>
    <w:p w14:paraId="7E6C7377" w14:textId="77777777" w:rsidR="009D7586" w:rsidRPr="00B60CCE" w:rsidRDefault="009D7586" w:rsidP="009D7586"/>
    <w:p w14:paraId="21968CC6" w14:textId="77777777" w:rsidR="009D7586" w:rsidRPr="00B60CCE" w:rsidRDefault="009D7586" w:rsidP="009D7586"/>
    <w:p w14:paraId="27A35B2D" w14:textId="77777777" w:rsidR="009D7586" w:rsidRPr="00B60CCE" w:rsidRDefault="009D7586" w:rsidP="009D7586">
      <w:pPr>
        <w:rPr>
          <w:sz w:val="28"/>
        </w:rPr>
      </w:pPr>
      <w:r w:rsidRPr="00B60CCE">
        <w:rPr>
          <w:sz w:val="28"/>
        </w:rPr>
        <w:t>Kafli 1</w:t>
      </w:r>
      <w:r w:rsidRPr="00B60CCE">
        <w:rPr>
          <w:sz w:val="28"/>
        </w:rPr>
        <w:tab/>
        <w:t>Formáli</w:t>
      </w:r>
    </w:p>
    <w:p w14:paraId="40ED9F9F" w14:textId="77777777" w:rsidR="009D7586" w:rsidRPr="00B60CCE" w:rsidRDefault="009D7586" w:rsidP="009D7586">
      <w:pPr>
        <w:rPr>
          <w:sz w:val="28"/>
        </w:rPr>
      </w:pPr>
      <w:r w:rsidRPr="00B60CCE">
        <w:rPr>
          <w:sz w:val="28"/>
        </w:rPr>
        <w:t>Kafli 2</w:t>
      </w:r>
      <w:r w:rsidRPr="00B60CCE">
        <w:rPr>
          <w:sz w:val="28"/>
        </w:rPr>
        <w:tab/>
        <w:t>Inngangur</w:t>
      </w:r>
    </w:p>
    <w:p w14:paraId="77115B2B" w14:textId="77777777" w:rsidR="009D7586" w:rsidRPr="00B60CCE" w:rsidRDefault="009D7586" w:rsidP="009D7586">
      <w:pPr>
        <w:rPr>
          <w:sz w:val="28"/>
        </w:rPr>
      </w:pPr>
      <w:r w:rsidRPr="00B60CCE">
        <w:rPr>
          <w:sz w:val="28"/>
        </w:rPr>
        <w:t>Kafli 3</w:t>
      </w:r>
      <w:r w:rsidRPr="00B60CCE">
        <w:rPr>
          <w:sz w:val="28"/>
        </w:rPr>
        <w:tab/>
        <w:t>Fylling</w:t>
      </w:r>
    </w:p>
    <w:p w14:paraId="6FE37A9A" w14:textId="77777777" w:rsidR="009D7586" w:rsidRPr="00B60CCE" w:rsidRDefault="009D7586" w:rsidP="009D7586">
      <w:pPr>
        <w:rPr>
          <w:sz w:val="28"/>
        </w:rPr>
      </w:pPr>
      <w:r w:rsidRPr="00B60CCE">
        <w:rPr>
          <w:sz w:val="28"/>
        </w:rPr>
        <w:t>Kafli 4</w:t>
      </w:r>
      <w:r w:rsidRPr="00B60CCE">
        <w:rPr>
          <w:sz w:val="28"/>
        </w:rPr>
        <w:tab/>
        <w:t>Styrktarlag</w:t>
      </w:r>
    </w:p>
    <w:p w14:paraId="04E35B10" w14:textId="77777777" w:rsidR="009D7586" w:rsidRPr="009D7586" w:rsidRDefault="009D7586" w:rsidP="009D7586">
      <w:pPr>
        <w:rPr>
          <w:sz w:val="28"/>
          <w:szCs w:val="28"/>
        </w:rPr>
      </w:pPr>
      <w:r w:rsidRPr="009D7586">
        <w:rPr>
          <w:sz w:val="28"/>
          <w:szCs w:val="28"/>
        </w:rPr>
        <w:t>Kafli 5</w:t>
      </w:r>
      <w:r w:rsidRPr="009D7586">
        <w:rPr>
          <w:sz w:val="28"/>
          <w:szCs w:val="28"/>
        </w:rPr>
        <w:tab/>
        <w:t xml:space="preserve">Burðarlag </w:t>
      </w:r>
    </w:p>
    <w:p w14:paraId="212924B2" w14:textId="77777777" w:rsidR="009D7586" w:rsidRPr="00B60CCE" w:rsidRDefault="009D7586" w:rsidP="009D7586">
      <w:pPr>
        <w:rPr>
          <w:sz w:val="28"/>
        </w:rPr>
      </w:pPr>
      <w:r w:rsidRPr="00B60CCE">
        <w:rPr>
          <w:sz w:val="28"/>
        </w:rPr>
        <w:t>Kafli 6</w:t>
      </w:r>
      <w:r w:rsidRPr="00B60CCE">
        <w:rPr>
          <w:sz w:val="28"/>
        </w:rPr>
        <w:tab/>
        <w:t>Slitlag</w:t>
      </w:r>
    </w:p>
    <w:p w14:paraId="427176C3" w14:textId="66912153" w:rsidR="009D7586" w:rsidRPr="00B60CCE" w:rsidRDefault="009D7586" w:rsidP="009D7586">
      <w:pPr>
        <w:rPr>
          <w:sz w:val="28"/>
        </w:rPr>
      </w:pPr>
      <w:r w:rsidRPr="00B60CCE">
        <w:rPr>
          <w:sz w:val="28"/>
        </w:rPr>
        <w:t>Kafli 7</w:t>
      </w:r>
      <w:r w:rsidRPr="00B60CCE">
        <w:rPr>
          <w:sz w:val="28"/>
        </w:rPr>
        <w:tab/>
        <w:t>Steinsteypa</w:t>
      </w:r>
    </w:p>
    <w:p w14:paraId="15E5F63A" w14:textId="77777777" w:rsidR="009D7586" w:rsidRPr="00B60CCE" w:rsidRDefault="009D7586" w:rsidP="009D7586">
      <w:pPr>
        <w:rPr>
          <w:sz w:val="28"/>
        </w:rPr>
      </w:pPr>
    </w:p>
    <w:p w14:paraId="3223CB50" w14:textId="77777777" w:rsidR="009D7586" w:rsidRPr="00B60CCE" w:rsidRDefault="009D7586" w:rsidP="009D7586">
      <w:pPr>
        <w:rPr>
          <w:sz w:val="28"/>
        </w:rPr>
      </w:pPr>
      <w:r w:rsidRPr="00B60CCE">
        <w:rPr>
          <w:sz w:val="28"/>
        </w:rPr>
        <w:t>Viðauki 1</w:t>
      </w:r>
      <w:r w:rsidRPr="00B60CCE">
        <w:rPr>
          <w:sz w:val="28"/>
        </w:rPr>
        <w:tab/>
        <w:t>Lýsing á prófunaraðferðum</w:t>
      </w:r>
    </w:p>
    <w:p w14:paraId="223B9767" w14:textId="3973CCE0" w:rsidR="009D7586" w:rsidRPr="00B60CCE" w:rsidRDefault="00485600" w:rsidP="009D7586">
      <w:pPr>
        <w:rPr>
          <w:sz w:val="28"/>
        </w:rPr>
      </w:pPr>
      <w:r>
        <w:rPr>
          <w:sz w:val="28"/>
        </w:rPr>
        <w:t>Viðauki 2</w:t>
      </w:r>
      <w:r>
        <w:rPr>
          <w:sz w:val="28"/>
        </w:rPr>
        <w:tab/>
        <w:t xml:space="preserve">Efnisgerðir </w:t>
      </w:r>
      <w:r w:rsidR="009D7586" w:rsidRPr="00B60CCE">
        <w:rPr>
          <w:sz w:val="28"/>
        </w:rPr>
        <w:t>við vega- og gatnagerð</w:t>
      </w:r>
    </w:p>
    <w:p w14:paraId="632C0E00" w14:textId="6758C148" w:rsidR="009D7586" w:rsidRPr="00B60CCE" w:rsidRDefault="009D7586" w:rsidP="009D7586">
      <w:pPr>
        <w:rPr>
          <w:sz w:val="28"/>
        </w:rPr>
      </w:pPr>
      <w:r w:rsidRPr="00B60CCE">
        <w:rPr>
          <w:sz w:val="28"/>
        </w:rPr>
        <w:t>Viðauki 3</w:t>
      </w:r>
      <w:r w:rsidRPr="00B60CCE">
        <w:rPr>
          <w:sz w:val="28"/>
        </w:rPr>
        <w:tab/>
        <w:t>Jarðmyndanir</w:t>
      </w:r>
      <w:r w:rsidR="00485600">
        <w:rPr>
          <w:sz w:val="28"/>
        </w:rPr>
        <w:t xml:space="preserve"> – </w:t>
      </w:r>
      <w:r w:rsidR="00693379">
        <w:rPr>
          <w:sz w:val="28"/>
        </w:rPr>
        <w:t>byggingarefni við</w:t>
      </w:r>
      <w:r w:rsidRPr="00B60CCE">
        <w:rPr>
          <w:sz w:val="28"/>
        </w:rPr>
        <w:t xml:space="preserve"> vegagerð</w:t>
      </w:r>
    </w:p>
    <w:p w14:paraId="2C22100F" w14:textId="69AEA339" w:rsidR="009D7586" w:rsidRPr="009D7586" w:rsidRDefault="009D7586" w:rsidP="009D7586">
      <w:pPr>
        <w:rPr>
          <w:b/>
          <w:i/>
          <w:color w:val="FF0000"/>
          <w:sz w:val="28"/>
        </w:rPr>
      </w:pPr>
      <w:r w:rsidRPr="009D7586">
        <w:rPr>
          <w:b/>
          <w:i/>
          <w:color w:val="FF0000"/>
          <w:sz w:val="28"/>
        </w:rPr>
        <w:t>Viðauki 4</w:t>
      </w:r>
      <w:r w:rsidRPr="009D7586">
        <w:rPr>
          <w:b/>
          <w:i/>
          <w:color w:val="FF0000"/>
          <w:sz w:val="28"/>
        </w:rPr>
        <w:tab/>
        <w:t xml:space="preserve">Gerðarprófanir, framleiðslueftirlit og frávikskröfur </w:t>
      </w:r>
      <w:r w:rsidRPr="009D7586">
        <w:rPr>
          <w:b/>
          <w:i/>
          <w:color w:val="FF0000"/>
          <w:sz w:val="28"/>
          <w:szCs w:val="28"/>
        </w:rPr>
        <w:t xml:space="preserve">(janúar </w:t>
      </w:r>
      <w:r w:rsidR="00AC66DC">
        <w:rPr>
          <w:b/>
          <w:i/>
          <w:color w:val="FF0000"/>
          <w:sz w:val="28"/>
          <w:szCs w:val="28"/>
        </w:rPr>
        <w:t>20</w:t>
      </w:r>
      <w:r w:rsidR="004A204E">
        <w:rPr>
          <w:b/>
          <w:i/>
          <w:color w:val="FF0000"/>
          <w:sz w:val="28"/>
          <w:szCs w:val="28"/>
        </w:rPr>
        <w:t>2</w:t>
      </w:r>
      <w:r w:rsidR="0054550A">
        <w:rPr>
          <w:b/>
          <w:i/>
          <w:color w:val="FF0000"/>
          <w:sz w:val="28"/>
          <w:szCs w:val="28"/>
        </w:rPr>
        <w:t>1</w:t>
      </w:r>
      <w:r w:rsidRPr="009D7586">
        <w:rPr>
          <w:b/>
          <w:i/>
          <w:color w:val="FF0000"/>
          <w:sz w:val="28"/>
          <w:szCs w:val="28"/>
        </w:rPr>
        <w:t>)</w:t>
      </w:r>
    </w:p>
    <w:p w14:paraId="31CEE52B" w14:textId="77777777" w:rsidR="009D7586" w:rsidRPr="00B60CCE" w:rsidRDefault="009D7586" w:rsidP="009D7586">
      <w:pPr>
        <w:rPr>
          <w:sz w:val="28"/>
        </w:rPr>
      </w:pPr>
      <w:r w:rsidRPr="00B60CCE">
        <w:rPr>
          <w:sz w:val="28"/>
        </w:rPr>
        <w:t>Viðauki 5</w:t>
      </w:r>
      <w:r w:rsidRPr="00B60CCE">
        <w:rPr>
          <w:sz w:val="28"/>
        </w:rPr>
        <w:tab/>
        <w:t>Sýnataka</w:t>
      </w:r>
    </w:p>
    <w:p w14:paraId="693A74AA" w14:textId="77777777" w:rsidR="009D7586" w:rsidRPr="00B60CCE" w:rsidRDefault="009D7586" w:rsidP="009D7586">
      <w:pPr>
        <w:rPr>
          <w:sz w:val="28"/>
        </w:rPr>
      </w:pPr>
      <w:r w:rsidRPr="00B60CCE">
        <w:rPr>
          <w:sz w:val="28"/>
        </w:rPr>
        <w:t>Viðauki 6</w:t>
      </w:r>
      <w:r w:rsidRPr="00B60CCE">
        <w:rPr>
          <w:sz w:val="28"/>
        </w:rPr>
        <w:tab/>
        <w:t>Vinnsluaðferðir</w:t>
      </w:r>
    </w:p>
    <w:p w14:paraId="029A99FE" w14:textId="77777777" w:rsidR="009D7586" w:rsidRPr="00B60CCE" w:rsidRDefault="009D7586" w:rsidP="009D7586">
      <w:pPr>
        <w:rPr>
          <w:sz w:val="28"/>
        </w:rPr>
      </w:pPr>
      <w:r w:rsidRPr="00B60CCE">
        <w:rPr>
          <w:sz w:val="28"/>
        </w:rPr>
        <w:t>Viðauki 7</w:t>
      </w:r>
      <w:r w:rsidRPr="00B60CCE">
        <w:rPr>
          <w:sz w:val="28"/>
        </w:rPr>
        <w:tab/>
        <w:t>Orðalisti – skilgreiningar og skýringar</w:t>
      </w:r>
    </w:p>
    <w:p w14:paraId="00125EE6" w14:textId="77777777" w:rsidR="009D7586" w:rsidRDefault="009D7586" w:rsidP="009D7586">
      <w:pPr>
        <w:rPr>
          <w:sz w:val="28"/>
        </w:rPr>
      </w:pPr>
      <w:r w:rsidRPr="00B60CCE">
        <w:rPr>
          <w:sz w:val="28"/>
        </w:rPr>
        <w:t>Viðauki 8</w:t>
      </w:r>
      <w:r w:rsidRPr="00B60CCE">
        <w:rPr>
          <w:sz w:val="28"/>
        </w:rPr>
        <w:tab/>
      </w:r>
      <w:r>
        <w:rPr>
          <w:sz w:val="28"/>
        </w:rPr>
        <w:t>Ýtar</w:t>
      </w:r>
      <w:r w:rsidRPr="00B60CCE">
        <w:rPr>
          <w:sz w:val="28"/>
        </w:rPr>
        <w:t>efni um malbik</w:t>
      </w:r>
    </w:p>
    <w:p w14:paraId="5BCF44D1" w14:textId="30134D67" w:rsidR="009D7586" w:rsidRDefault="0036419B" w:rsidP="009D7586">
      <w:pPr>
        <w:rPr>
          <w:sz w:val="28"/>
        </w:rPr>
      </w:pPr>
      <w:r w:rsidRPr="00603FC4">
        <w:rPr>
          <w:sz w:val="28"/>
        </w:rPr>
        <w:t>Viðauki 9</w:t>
      </w:r>
      <w:r w:rsidRPr="00603FC4">
        <w:rPr>
          <w:sz w:val="28"/>
        </w:rPr>
        <w:tab/>
        <w:t>Samanburður á eiginleikum steinefna og kröfum</w:t>
      </w:r>
    </w:p>
    <w:p w14:paraId="78FB6DFA" w14:textId="6BB8A74F" w:rsidR="00F86196" w:rsidRDefault="00F86196" w:rsidP="009D7586">
      <w:pPr>
        <w:rPr>
          <w:sz w:val="28"/>
        </w:rPr>
      </w:pPr>
      <w:r w:rsidRPr="009E5BB3">
        <w:rPr>
          <w:sz w:val="28"/>
        </w:rPr>
        <w:t>Viðauki 10</w:t>
      </w:r>
      <w:r w:rsidR="009E5BB3">
        <w:rPr>
          <w:sz w:val="28"/>
        </w:rPr>
        <w:tab/>
      </w:r>
      <w:r w:rsidRPr="009E5BB3">
        <w:rPr>
          <w:sz w:val="28"/>
        </w:rPr>
        <w:t>Berggreining og gæðaflokkun</w:t>
      </w:r>
    </w:p>
    <w:p w14:paraId="1A82229A" w14:textId="77777777" w:rsidR="00A07A52" w:rsidRDefault="00A07A52" w:rsidP="009D7586">
      <w:pPr>
        <w:rPr>
          <w:sz w:val="28"/>
        </w:rPr>
      </w:pPr>
    </w:p>
    <w:p w14:paraId="5EB09B94" w14:textId="77777777" w:rsidR="009D7586" w:rsidRPr="00B60CCE" w:rsidRDefault="009D7586" w:rsidP="009D7586">
      <w:pPr>
        <w:rPr>
          <w:sz w:val="28"/>
        </w:rPr>
      </w:pPr>
      <w:r w:rsidRPr="00B60CCE">
        <w:object w:dxaOrig="6615" w:dyaOrig="2175" w14:anchorId="4FB31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4pt;height:136.9pt" o:ole="" o:bordertopcolor="this" o:borderleftcolor="this" o:borderbottomcolor="this" o:borderrightcolor="this" o:allowoverlap="f">
            <v:imagedata r:id="rId10" o:title=""/>
            <w10:bordertop type="single" width="8"/>
            <w10:borderleft type="single" width="8"/>
            <w10:borderbottom type="single" width="8"/>
            <w10:borderright type="single" width="8"/>
          </v:shape>
          <o:OLEObject Type="Embed" ProgID="SDPhotoEdit.Document" ShapeID="_x0000_i1025" DrawAspect="Content" ObjectID="_1663758448" r:id="rId11"/>
        </w:object>
      </w:r>
    </w:p>
    <w:p w14:paraId="66EB602C" w14:textId="23508235" w:rsidR="00206832" w:rsidRPr="00206832" w:rsidRDefault="00206832" w:rsidP="00206832">
      <w:pPr>
        <w:jc w:val="center"/>
        <w:rPr>
          <w:b/>
          <w:sz w:val="32"/>
          <w:szCs w:val="32"/>
        </w:rPr>
      </w:pPr>
      <w:bookmarkStart w:id="3" w:name="_Toc273705849"/>
      <w:bookmarkStart w:id="4" w:name="_Toc273706464"/>
      <w:bookmarkStart w:id="5" w:name="_Toc309656282"/>
      <w:bookmarkStart w:id="6" w:name="_Toc314230022"/>
      <w:bookmarkStart w:id="7" w:name="_Toc381712255"/>
      <w:bookmarkStart w:id="8" w:name="_Toc405896756"/>
      <w:bookmarkEnd w:id="1"/>
      <w:r w:rsidRPr="00206832">
        <w:rPr>
          <w:b/>
          <w:sz w:val="32"/>
          <w:szCs w:val="32"/>
        </w:rPr>
        <w:lastRenderedPageBreak/>
        <w:t>VIÐAUKI 4</w:t>
      </w:r>
    </w:p>
    <w:p w14:paraId="629FF26F" w14:textId="77777777" w:rsidR="00206832" w:rsidRDefault="00206832" w:rsidP="00206832">
      <w:pPr>
        <w:jc w:val="center"/>
        <w:rPr>
          <w:sz w:val="32"/>
          <w:szCs w:val="32"/>
        </w:rPr>
      </w:pPr>
    </w:p>
    <w:p w14:paraId="384D7806" w14:textId="6ED55FC2" w:rsidR="00EA023E" w:rsidRPr="00A26E01" w:rsidRDefault="00454A99" w:rsidP="00206832">
      <w:pPr>
        <w:jc w:val="center"/>
        <w:rPr>
          <w:sz w:val="32"/>
          <w:szCs w:val="32"/>
        </w:rPr>
      </w:pPr>
      <w:r w:rsidRPr="00A26E01">
        <w:rPr>
          <w:sz w:val="32"/>
          <w:szCs w:val="32"/>
        </w:rPr>
        <w:t>Gerðarprófanir</w:t>
      </w:r>
      <w:r w:rsidR="00A02FF5" w:rsidRPr="00A26E01">
        <w:rPr>
          <w:sz w:val="32"/>
          <w:szCs w:val="32"/>
        </w:rPr>
        <w:t>,</w:t>
      </w:r>
      <w:r w:rsidR="00D65A37" w:rsidRPr="00A26E01">
        <w:rPr>
          <w:sz w:val="32"/>
          <w:szCs w:val="32"/>
        </w:rPr>
        <w:t xml:space="preserve"> framleiðslueftirlit</w:t>
      </w:r>
      <w:r w:rsidR="00A02FF5" w:rsidRPr="00A26E01">
        <w:rPr>
          <w:sz w:val="32"/>
          <w:szCs w:val="32"/>
        </w:rPr>
        <w:t xml:space="preserve"> og </w:t>
      </w:r>
      <w:bookmarkEnd w:id="3"/>
      <w:bookmarkEnd w:id="4"/>
      <w:r w:rsidR="000A2A29" w:rsidRPr="00A26E01">
        <w:rPr>
          <w:sz w:val="32"/>
          <w:szCs w:val="32"/>
        </w:rPr>
        <w:t>frávikskröfur</w:t>
      </w:r>
      <w:bookmarkEnd w:id="5"/>
      <w:bookmarkEnd w:id="6"/>
      <w:bookmarkEnd w:id="7"/>
      <w:bookmarkEnd w:id="8"/>
    </w:p>
    <w:p w14:paraId="0F02504E" w14:textId="77777777" w:rsidR="00505533" w:rsidRDefault="00505533" w:rsidP="00A26E01"/>
    <w:p w14:paraId="400DBF10" w14:textId="6A37601B" w:rsidR="00BD6795" w:rsidRPr="009E5BB3" w:rsidRDefault="00A029AB" w:rsidP="00A029AB">
      <w:pPr>
        <w:pStyle w:val="Heading1"/>
        <w:numPr>
          <w:ilvl w:val="0"/>
          <w:numId w:val="0"/>
        </w:numPr>
        <w:spacing w:after="0"/>
        <w:ind w:left="142"/>
        <w:rPr>
          <w:color w:val="FF0000"/>
        </w:rPr>
      </w:pPr>
      <w:bookmarkStart w:id="9" w:name="_Toc52971430"/>
      <w:bookmarkStart w:id="10" w:name="_Toc314230023"/>
      <w:r w:rsidRPr="009E5BB3">
        <w:rPr>
          <w:color w:val="FF0000"/>
        </w:rPr>
        <w:t>Athugasemd:</w:t>
      </w:r>
      <w:bookmarkEnd w:id="9"/>
    </w:p>
    <w:bookmarkStart w:id="11" w:name="_Toc405896757"/>
    <w:bookmarkStart w:id="12" w:name="_Toc381712257"/>
    <w:p w14:paraId="6A6796D0" w14:textId="2117BE08" w:rsidR="00F66DBD" w:rsidRPr="00206832" w:rsidRDefault="00F47A60" w:rsidP="00206832">
      <w:pPr>
        <w:rPr>
          <w:b/>
        </w:rPr>
      </w:pPr>
      <w:r>
        <w:rPr>
          <w:noProof/>
          <w:lang w:val="en-GB" w:eastAsia="en-GB"/>
        </w:rPr>
        <mc:AlternateContent>
          <mc:Choice Requires="wps">
            <w:drawing>
              <wp:anchor distT="0" distB="0" distL="114300" distR="114300" simplePos="0" relativeHeight="251663360" behindDoc="0" locked="0" layoutInCell="1" allowOverlap="1" wp14:anchorId="24F52F06" wp14:editId="56DAD3C8">
                <wp:simplePos x="0" y="0"/>
                <wp:positionH relativeFrom="column">
                  <wp:posOffset>-21131</wp:posOffset>
                </wp:positionH>
                <wp:positionV relativeFrom="paragraph">
                  <wp:posOffset>212954</wp:posOffset>
                </wp:positionV>
                <wp:extent cx="5300345" cy="6984787"/>
                <wp:effectExtent l="0" t="0" r="1460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6984787"/>
                        </a:xfrm>
                        <a:prstGeom prst="rect">
                          <a:avLst/>
                        </a:prstGeom>
                        <a:solidFill>
                          <a:srgbClr val="FFFFFF"/>
                        </a:solidFill>
                        <a:ln w="9525">
                          <a:solidFill>
                            <a:srgbClr val="000000"/>
                          </a:solidFill>
                          <a:miter lim="800000"/>
                          <a:headEnd/>
                          <a:tailEnd/>
                        </a:ln>
                      </wps:spPr>
                      <wps:txbx>
                        <w:txbxContent>
                          <w:p w14:paraId="36987F11" w14:textId="5BE0A43B" w:rsidR="00A07A52" w:rsidRPr="00280263" w:rsidRDefault="00A07A52" w:rsidP="00485600">
                            <w:pPr>
                              <w:jc w:val="both"/>
                              <w:rPr>
                                <w:color w:val="FF0000"/>
                              </w:rPr>
                            </w:pPr>
                            <w:r w:rsidRPr="00280263">
                              <w:rPr>
                                <w:color w:val="FF0000"/>
                              </w:rPr>
                              <w:t xml:space="preserve">Í lok árs 2013 kom upp sú staða að nýjustu útgáfur framleiðslustaðla fyrir steinefni undir </w:t>
                            </w:r>
                            <w:r>
                              <w:rPr>
                                <w:color w:val="FF0000"/>
                              </w:rPr>
                              <w:t xml:space="preserve">CEN </w:t>
                            </w:r>
                            <w:r w:rsidRPr="00280263">
                              <w:rPr>
                                <w:color w:val="FF0000"/>
                              </w:rPr>
                              <w:t xml:space="preserve">TC 154 voru dregnar til baka af tæknilegum ástæðum. Staðlarnir eru eftirfarandi: </w:t>
                            </w:r>
                          </w:p>
                          <w:p w14:paraId="69B95129" w14:textId="77777777" w:rsidR="00A07A52" w:rsidRPr="00280263" w:rsidRDefault="00A07A52" w:rsidP="00485600">
                            <w:pPr>
                              <w:jc w:val="both"/>
                              <w:rPr>
                                <w:color w:val="FF0000"/>
                              </w:rPr>
                            </w:pPr>
                          </w:p>
                          <w:p w14:paraId="1B3FCFD5" w14:textId="19398BBD" w:rsidR="00A07A52" w:rsidRPr="00280263" w:rsidRDefault="00A07A52" w:rsidP="00FB7D6A">
                            <w:pPr>
                              <w:pStyle w:val="ListParagraph"/>
                              <w:numPr>
                                <w:ilvl w:val="0"/>
                                <w:numId w:val="34"/>
                              </w:numPr>
                              <w:jc w:val="both"/>
                              <w:rPr>
                                <w:color w:val="FF0000"/>
                              </w:rPr>
                            </w:pPr>
                            <w:r w:rsidRPr="00280263">
                              <w:rPr>
                                <w:color w:val="FF0000"/>
                              </w:rPr>
                              <w:t xml:space="preserve">ÍST EN 12620 (Steinefni í steinsteypu) </w:t>
                            </w:r>
                          </w:p>
                          <w:p w14:paraId="1F94A74B" w14:textId="1B2BF7E7" w:rsidR="00A07A52" w:rsidRPr="00280263" w:rsidRDefault="00A07A52" w:rsidP="00FB7D6A">
                            <w:pPr>
                              <w:pStyle w:val="ListParagraph"/>
                              <w:numPr>
                                <w:ilvl w:val="0"/>
                                <w:numId w:val="34"/>
                              </w:numPr>
                              <w:jc w:val="both"/>
                              <w:rPr>
                                <w:color w:val="FF0000"/>
                              </w:rPr>
                            </w:pPr>
                            <w:r w:rsidRPr="00280263">
                              <w:rPr>
                                <w:color w:val="FF0000"/>
                              </w:rPr>
                              <w:t>ÍST EN 13043 (</w:t>
                            </w:r>
                            <w:r w:rsidRPr="00280263">
                              <w:rPr>
                                <w:color w:val="FF0000"/>
                                <w:shd w:val="clear" w:color="auto" w:fill="FFFFFF"/>
                              </w:rPr>
                              <w:t>Steinefni í malbik og klæðningar á vegi, flugvelli og önnur umferðarsvæði</w:t>
                            </w:r>
                            <w:r w:rsidRPr="00280263">
                              <w:rPr>
                                <w:color w:val="FF0000"/>
                              </w:rPr>
                              <w:t xml:space="preserve">) </w:t>
                            </w:r>
                          </w:p>
                          <w:p w14:paraId="405386BD" w14:textId="00D21850" w:rsidR="00A07A52" w:rsidRPr="00280263" w:rsidRDefault="00A07A52" w:rsidP="00FB7D6A">
                            <w:pPr>
                              <w:pStyle w:val="ListParagraph"/>
                              <w:numPr>
                                <w:ilvl w:val="0"/>
                                <w:numId w:val="34"/>
                              </w:numPr>
                              <w:jc w:val="both"/>
                              <w:rPr>
                                <w:color w:val="FF0000"/>
                              </w:rPr>
                            </w:pPr>
                            <w:r w:rsidRPr="00280263">
                              <w:rPr>
                                <w:color w:val="FF0000"/>
                              </w:rPr>
                              <w:t xml:space="preserve">ÍST EN 13139 (Steinefni í múrblöndur) </w:t>
                            </w:r>
                          </w:p>
                          <w:p w14:paraId="5BF07171" w14:textId="16FB5BCE" w:rsidR="00A07A52" w:rsidRPr="00280263" w:rsidRDefault="00A07A52" w:rsidP="00075FE8">
                            <w:pPr>
                              <w:pStyle w:val="ListParagraph"/>
                              <w:numPr>
                                <w:ilvl w:val="0"/>
                                <w:numId w:val="34"/>
                              </w:numPr>
                              <w:jc w:val="both"/>
                              <w:rPr>
                                <w:color w:val="FF0000"/>
                              </w:rPr>
                            </w:pPr>
                            <w:r w:rsidRPr="00280263">
                              <w:rPr>
                                <w:color w:val="FF0000"/>
                              </w:rPr>
                              <w:t xml:space="preserve">ÍST EN 13242 (Steinefni í mannvirki og vegagerð, notuð óbundin eða bundin með vatnshverfum efnum) </w:t>
                            </w:r>
                          </w:p>
                          <w:p w14:paraId="22B31A2A" w14:textId="43FD9DCB" w:rsidR="00A07A52" w:rsidRPr="00280263" w:rsidRDefault="00A07A52" w:rsidP="00FB7D6A">
                            <w:pPr>
                              <w:pStyle w:val="ListParagraph"/>
                              <w:numPr>
                                <w:ilvl w:val="0"/>
                                <w:numId w:val="34"/>
                              </w:numPr>
                              <w:jc w:val="both"/>
                              <w:rPr>
                                <w:color w:val="FF0000"/>
                              </w:rPr>
                            </w:pPr>
                            <w:r w:rsidRPr="00280263">
                              <w:rPr>
                                <w:color w:val="FF0000"/>
                              </w:rPr>
                              <w:t xml:space="preserve">ÍST EN 13383-1 (Rofvarnargrjót) </w:t>
                            </w:r>
                          </w:p>
                          <w:p w14:paraId="79BEC0A0" w14:textId="739B3D50" w:rsidR="00A07A52" w:rsidRPr="00280263" w:rsidRDefault="00A07A52" w:rsidP="00FB7D6A">
                            <w:pPr>
                              <w:pStyle w:val="ListParagraph"/>
                              <w:numPr>
                                <w:ilvl w:val="0"/>
                                <w:numId w:val="34"/>
                              </w:numPr>
                              <w:jc w:val="both"/>
                              <w:rPr>
                                <w:color w:val="FF0000"/>
                              </w:rPr>
                            </w:pPr>
                            <w:r w:rsidRPr="00280263">
                              <w:rPr>
                                <w:color w:val="FF0000"/>
                              </w:rPr>
                              <w:t xml:space="preserve">ÍST EN 13450 (Steinefni undir járnbrautarteina) </w:t>
                            </w:r>
                          </w:p>
                          <w:p w14:paraId="44A10F21" w14:textId="29EA68D0" w:rsidR="00A07A52" w:rsidRPr="00280263" w:rsidRDefault="00A07A52" w:rsidP="00075FE8">
                            <w:pPr>
                              <w:pStyle w:val="ListParagraph"/>
                              <w:numPr>
                                <w:ilvl w:val="0"/>
                                <w:numId w:val="34"/>
                              </w:numPr>
                              <w:jc w:val="both"/>
                              <w:rPr>
                                <w:color w:val="FF0000"/>
                              </w:rPr>
                            </w:pPr>
                            <w:r>
                              <w:rPr>
                                <w:color w:val="FF0000"/>
                              </w:rPr>
                              <w:t xml:space="preserve">ATH: </w:t>
                            </w:r>
                            <w:r w:rsidRPr="00280263">
                              <w:rPr>
                                <w:color w:val="FF0000"/>
                              </w:rPr>
                              <w:t>ÍST EN 16236 (Mat og staðfesting á gæðastöðugleika steinefna – gerðarprófun og framleiðslueftirlit)</w:t>
                            </w:r>
                            <w:r>
                              <w:rPr>
                                <w:color w:val="FF0000"/>
                              </w:rPr>
                              <w:t>. Þessi staðall var gefinn út á árinu 2018 en nú hefur verið tekin sú ákvörðun að draga hann til baka. Ákvæði staðalsins munu verða færð inn í viðkomandi framleiðslustaðla og miðast því tilvísanir í Efnisgæðaritinu til þeirra staðla en ekki ÍST EN 16236,</w:t>
                            </w:r>
                            <w:r w:rsidRPr="00280263">
                              <w:rPr>
                                <w:color w:val="FF0000"/>
                              </w:rPr>
                              <w:t xml:space="preserve"> </w:t>
                            </w:r>
                          </w:p>
                          <w:p w14:paraId="40530298" w14:textId="77777777" w:rsidR="00A07A52" w:rsidRPr="00280263" w:rsidRDefault="00A07A52" w:rsidP="00485600">
                            <w:pPr>
                              <w:jc w:val="both"/>
                              <w:rPr>
                                <w:color w:val="FF0000"/>
                              </w:rPr>
                            </w:pPr>
                          </w:p>
                          <w:p w14:paraId="768C9C9E" w14:textId="12172C58" w:rsidR="00A07A52" w:rsidRDefault="00A07A52" w:rsidP="00141C8B">
                            <w:pPr>
                              <w:jc w:val="both"/>
                              <w:rPr>
                                <w:color w:val="FF0000"/>
                              </w:rPr>
                            </w:pPr>
                            <w:r w:rsidRPr="00280263">
                              <w:rPr>
                                <w:color w:val="FF0000"/>
                              </w:rPr>
                              <w:t xml:space="preserve">Eldri útgáfur hafa tekið gildi á meðan unnið er að nýjum útgáfum. Að mestu er um að ræða ritstjórnarleg atriði (e. editorial), en að sama skapi hefur þessi vinna leitt til ákveðinnar samræmingar milli staðlanna. </w:t>
                            </w:r>
                            <w:r>
                              <w:rPr>
                                <w:color w:val="FF0000"/>
                              </w:rPr>
                              <w:t>Tvær formlegar atkvæðagreiðslur (e. Formal Vote) hafa síðan farið fram um staðlana og lauk þeirri seinni</w:t>
                            </w:r>
                            <w:r w:rsidRPr="00280263">
                              <w:rPr>
                                <w:color w:val="FF0000"/>
                              </w:rPr>
                              <w:t xml:space="preserve"> í ágúst 2018.</w:t>
                            </w:r>
                            <w:r>
                              <w:rPr>
                                <w:color w:val="FF0000"/>
                              </w:rPr>
                              <w:t xml:space="preserve"> Í báðum tilfellum samþykktu nær allar aðildarþjóðir ESB og evrópska efnahagssvæðisins staðlana en í báðum tilfellum höfnuðu eftirlitsaðilar Evrópuráðsins (e. European Commision) að samþykkja þá óbreytta. Í framhaldi af þessari stöðu ákvað CEN TC 154 nefndin að sameina framleiðslustaðlana fyrir steinefni í steinsteypu, bikbundin lög og óbundin auk steinefna í múrblöndur í einn staðal sem verður númer EN 17555-1. Vonast er til að þrátt fyrir þessar tafir muni </w:t>
                            </w:r>
                            <w:r w:rsidRPr="00280263">
                              <w:rPr>
                                <w:color w:val="FF0000"/>
                              </w:rPr>
                              <w:t>ný</w:t>
                            </w:r>
                            <w:r>
                              <w:rPr>
                                <w:color w:val="FF0000"/>
                              </w:rPr>
                              <w:t>i</w:t>
                            </w:r>
                            <w:r w:rsidR="00D46BF6">
                              <w:rPr>
                                <w:color w:val="FF0000"/>
                              </w:rPr>
                              <w:t xml:space="preserve"> </w:t>
                            </w:r>
                            <w:r>
                              <w:rPr>
                                <w:color w:val="FF0000"/>
                              </w:rPr>
                              <w:t>framleiðslustaðallinn koma út á árinu 2022 eftir þriðju formlegu atkvæðagreiðsluna</w:t>
                            </w:r>
                            <w:r w:rsidRPr="00280263">
                              <w:rPr>
                                <w:color w:val="FF0000"/>
                              </w:rPr>
                              <w:t>.</w:t>
                            </w:r>
                            <w:r>
                              <w:rPr>
                                <w:color w:val="FF0000"/>
                              </w:rPr>
                              <w:t xml:space="preserve"> Vegna þessara tafa mun endurútgáfa fylgistaðals um steinefni ÍST 76 dragast til ársins 2022. Efnisgæðaritið tekur mið af þeim stöðlum sem nú eru í farvatninu þó að formleg útgáfa þeirra hafi dregist. </w:t>
                            </w:r>
                          </w:p>
                          <w:p w14:paraId="65876404" w14:textId="77777777" w:rsidR="00A07A52" w:rsidRPr="00280263" w:rsidRDefault="00A07A52" w:rsidP="00141C8B">
                            <w:pPr>
                              <w:jc w:val="both"/>
                              <w:rPr>
                                <w:color w:val="FF0000"/>
                              </w:rPr>
                            </w:pPr>
                          </w:p>
                          <w:p w14:paraId="29BDE0DD" w14:textId="0DAE98E9" w:rsidR="00A07A52" w:rsidRPr="00280263" w:rsidRDefault="00A07A52" w:rsidP="00F47A60">
                            <w:pPr>
                              <w:jc w:val="both"/>
                              <w:rPr>
                                <w:color w:val="FF0000"/>
                              </w:rPr>
                            </w:pPr>
                            <w:r>
                              <w:rPr>
                                <w:color w:val="FF0000"/>
                              </w:rPr>
                              <w:t>F</w:t>
                            </w:r>
                            <w:r w:rsidRPr="00280263">
                              <w:rPr>
                                <w:color w:val="FF0000"/>
                              </w:rPr>
                              <w:t>ramleiðslustaðlar undir CEN TC 227 sem fjalla um vegagerðarefni</w:t>
                            </w:r>
                            <w:r>
                              <w:rPr>
                                <w:color w:val="FF0000"/>
                              </w:rPr>
                              <w:t>,</w:t>
                            </w:r>
                            <w:r w:rsidRPr="00280263">
                              <w:rPr>
                                <w:color w:val="FF0000"/>
                              </w:rPr>
                              <w:t xml:space="preserve"> m.a. malbik og klæðingu, voru gefnir út á árinu 2016. Sambærileg ritstjórnarleg atriði þarfnast leiðréttingar í þeim stöðlum</w:t>
                            </w:r>
                            <w:r>
                              <w:rPr>
                                <w:color w:val="FF0000"/>
                              </w:rPr>
                              <w:t>. Fylgistaðall fyrir malbik ÍST 75 verður endurskoðaður þegar nýir staðlar hafa tekið gildi.</w:t>
                            </w:r>
                          </w:p>
                          <w:p w14:paraId="40201477" w14:textId="77777777" w:rsidR="00A07A52" w:rsidRDefault="00A07A52" w:rsidP="00485600">
                            <w:pPr>
                              <w:jc w:val="both"/>
                              <w:rPr>
                                <w:color w:val="FF0000"/>
                              </w:rPr>
                            </w:pPr>
                          </w:p>
                          <w:p w14:paraId="03E4C877" w14:textId="77777777" w:rsidR="00A07A52" w:rsidRPr="00280263" w:rsidRDefault="00A07A52" w:rsidP="00485600">
                            <w:pPr>
                              <w:jc w:val="both"/>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52F06" id="_x0000_t202" coordsize="21600,21600" o:spt="202" path="m,l,21600r21600,l21600,xe">
                <v:stroke joinstyle="miter"/>
                <v:path gradientshapeok="t" o:connecttype="rect"/>
              </v:shapetype>
              <v:shape id="_x0000_s1026" type="#_x0000_t202" style="position:absolute;margin-left:-1.65pt;margin-top:16.75pt;width:417.35pt;height:5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VWJQ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">
                <v:textbox>
                  <w:txbxContent>
                    <w:p w14:paraId="36987F11" w14:textId="5BE0A43B" w:rsidR="00A07A52" w:rsidRPr="00280263" w:rsidRDefault="00A07A52" w:rsidP="00485600">
                      <w:pPr>
                        <w:jc w:val="both"/>
                        <w:rPr>
                          <w:color w:val="FF0000"/>
                        </w:rPr>
                      </w:pPr>
                      <w:r w:rsidRPr="00280263">
                        <w:rPr>
                          <w:color w:val="FF0000"/>
                        </w:rPr>
                        <w:t xml:space="preserve">Í lok árs 2013 kom upp sú staða að nýjustu útgáfur framleiðslustaðla fyrir steinefni undir </w:t>
                      </w:r>
                      <w:r>
                        <w:rPr>
                          <w:color w:val="FF0000"/>
                        </w:rPr>
                        <w:t xml:space="preserve">CEN </w:t>
                      </w:r>
                      <w:r w:rsidRPr="00280263">
                        <w:rPr>
                          <w:color w:val="FF0000"/>
                        </w:rPr>
                        <w:t xml:space="preserve">TC 154 voru dregnar til baka af tæknilegum ástæðum. Staðlarnir eru eftirfarandi: </w:t>
                      </w:r>
                    </w:p>
                    <w:p w14:paraId="69B95129" w14:textId="77777777" w:rsidR="00A07A52" w:rsidRPr="00280263" w:rsidRDefault="00A07A52" w:rsidP="00485600">
                      <w:pPr>
                        <w:jc w:val="both"/>
                        <w:rPr>
                          <w:color w:val="FF0000"/>
                        </w:rPr>
                      </w:pPr>
                    </w:p>
                    <w:p w14:paraId="1B3FCFD5" w14:textId="19398BBD" w:rsidR="00A07A52" w:rsidRPr="00280263" w:rsidRDefault="00A07A52" w:rsidP="00FB7D6A">
                      <w:pPr>
                        <w:pStyle w:val="ListParagraph"/>
                        <w:numPr>
                          <w:ilvl w:val="0"/>
                          <w:numId w:val="34"/>
                        </w:numPr>
                        <w:jc w:val="both"/>
                        <w:rPr>
                          <w:color w:val="FF0000"/>
                        </w:rPr>
                      </w:pPr>
                      <w:r w:rsidRPr="00280263">
                        <w:rPr>
                          <w:color w:val="FF0000"/>
                        </w:rPr>
                        <w:t xml:space="preserve">ÍST EN 12620 (Steinefni í steinsteypu) </w:t>
                      </w:r>
                    </w:p>
                    <w:p w14:paraId="1F94A74B" w14:textId="1B2BF7E7" w:rsidR="00A07A52" w:rsidRPr="00280263" w:rsidRDefault="00A07A52" w:rsidP="00FB7D6A">
                      <w:pPr>
                        <w:pStyle w:val="ListParagraph"/>
                        <w:numPr>
                          <w:ilvl w:val="0"/>
                          <w:numId w:val="34"/>
                        </w:numPr>
                        <w:jc w:val="both"/>
                        <w:rPr>
                          <w:color w:val="FF0000"/>
                        </w:rPr>
                      </w:pPr>
                      <w:r w:rsidRPr="00280263">
                        <w:rPr>
                          <w:color w:val="FF0000"/>
                        </w:rPr>
                        <w:t>ÍST EN 13043 (</w:t>
                      </w:r>
                      <w:r w:rsidRPr="00280263">
                        <w:rPr>
                          <w:color w:val="FF0000"/>
                          <w:shd w:val="clear" w:color="auto" w:fill="FFFFFF"/>
                        </w:rPr>
                        <w:t>Steinefni í malbik og klæðningar á vegi, flugvelli og önnur umferðarsvæði</w:t>
                      </w:r>
                      <w:r w:rsidRPr="00280263">
                        <w:rPr>
                          <w:color w:val="FF0000"/>
                        </w:rPr>
                        <w:t xml:space="preserve">) </w:t>
                      </w:r>
                    </w:p>
                    <w:p w14:paraId="405386BD" w14:textId="00D21850" w:rsidR="00A07A52" w:rsidRPr="00280263" w:rsidRDefault="00A07A52" w:rsidP="00FB7D6A">
                      <w:pPr>
                        <w:pStyle w:val="ListParagraph"/>
                        <w:numPr>
                          <w:ilvl w:val="0"/>
                          <w:numId w:val="34"/>
                        </w:numPr>
                        <w:jc w:val="both"/>
                        <w:rPr>
                          <w:color w:val="FF0000"/>
                        </w:rPr>
                      </w:pPr>
                      <w:r w:rsidRPr="00280263">
                        <w:rPr>
                          <w:color w:val="FF0000"/>
                        </w:rPr>
                        <w:t xml:space="preserve">ÍST EN 13139 (Steinefni í múrblöndur) </w:t>
                      </w:r>
                    </w:p>
                    <w:p w14:paraId="5BF07171" w14:textId="16FB5BCE" w:rsidR="00A07A52" w:rsidRPr="00280263" w:rsidRDefault="00A07A52" w:rsidP="00075FE8">
                      <w:pPr>
                        <w:pStyle w:val="ListParagraph"/>
                        <w:numPr>
                          <w:ilvl w:val="0"/>
                          <w:numId w:val="34"/>
                        </w:numPr>
                        <w:jc w:val="both"/>
                        <w:rPr>
                          <w:color w:val="FF0000"/>
                        </w:rPr>
                      </w:pPr>
                      <w:r w:rsidRPr="00280263">
                        <w:rPr>
                          <w:color w:val="FF0000"/>
                        </w:rPr>
                        <w:t xml:space="preserve">ÍST EN 13242 (Steinefni í mannvirki og vegagerð, notuð óbundin eða bundin með vatnshverfum efnum) </w:t>
                      </w:r>
                    </w:p>
                    <w:p w14:paraId="22B31A2A" w14:textId="43FD9DCB" w:rsidR="00A07A52" w:rsidRPr="00280263" w:rsidRDefault="00A07A52" w:rsidP="00FB7D6A">
                      <w:pPr>
                        <w:pStyle w:val="ListParagraph"/>
                        <w:numPr>
                          <w:ilvl w:val="0"/>
                          <w:numId w:val="34"/>
                        </w:numPr>
                        <w:jc w:val="both"/>
                        <w:rPr>
                          <w:color w:val="FF0000"/>
                        </w:rPr>
                      </w:pPr>
                      <w:r w:rsidRPr="00280263">
                        <w:rPr>
                          <w:color w:val="FF0000"/>
                        </w:rPr>
                        <w:t xml:space="preserve">ÍST EN 13383-1 (Rofvarnargrjót) </w:t>
                      </w:r>
                    </w:p>
                    <w:p w14:paraId="79BEC0A0" w14:textId="739B3D50" w:rsidR="00A07A52" w:rsidRPr="00280263" w:rsidRDefault="00A07A52" w:rsidP="00FB7D6A">
                      <w:pPr>
                        <w:pStyle w:val="ListParagraph"/>
                        <w:numPr>
                          <w:ilvl w:val="0"/>
                          <w:numId w:val="34"/>
                        </w:numPr>
                        <w:jc w:val="both"/>
                        <w:rPr>
                          <w:color w:val="FF0000"/>
                        </w:rPr>
                      </w:pPr>
                      <w:r w:rsidRPr="00280263">
                        <w:rPr>
                          <w:color w:val="FF0000"/>
                        </w:rPr>
                        <w:t xml:space="preserve">ÍST EN 13450 (Steinefni undir járnbrautarteina) </w:t>
                      </w:r>
                    </w:p>
                    <w:p w14:paraId="44A10F21" w14:textId="29EA68D0" w:rsidR="00A07A52" w:rsidRPr="00280263" w:rsidRDefault="00A07A52" w:rsidP="00075FE8">
                      <w:pPr>
                        <w:pStyle w:val="ListParagraph"/>
                        <w:numPr>
                          <w:ilvl w:val="0"/>
                          <w:numId w:val="34"/>
                        </w:numPr>
                        <w:jc w:val="both"/>
                        <w:rPr>
                          <w:color w:val="FF0000"/>
                        </w:rPr>
                      </w:pPr>
                      <w:r>
                        <w:rPr>
                          <w:color w:val="FF0000"/>
                        </w:rPr>
                        <w:t xml:space="preserve">ATH: </w:t>
                      </w:r>
                      <w:r w:rsidRPr="00280263">
                        <w:rPr>
                          <w:color w:val="FF0000"/>
                        </w:rPr>
                        <w:t>ÍST EN 16236 (Mat og staðfesting á gæðastöðugleika steinefna – gerðarprófun og framleiðslueftirlit)</w:t>
                      </w:r>
                      <w:r>
                        <w:rPr>
                          <w:color w:val="FF0000"/>
                        </w:rPr>
                        <w:t>. Þessi staðall var gefinn út á árinu 2018 en nú hefur verið tekin sú ákvörðun að draga hann til baka. Ákvæði staðalsins munu verða færð inn í viðkomandi framleiðslustaðla og miðast því tilvísanir í Efnisgæðaritinu til þeirra staðla en ekki ÍST EN 16236,</w:t>
                      </w:r>
                      <w:r w:rsidRPr="00280263">
                        <w:rPr>
                          <w:color w:val="FF0000"/>
                        </w:rPr>
                        <w:t xml:space="preserve"> </w:t>
                      </w:r>
                    </w:p>
                    <w:p w14:paraId="40530298" w14:textId="77777777" w:rsidR="00A07A52" w:rsidRPr="00280263" w:rsidRDefault="00A07A52" w:rsidP="00485600">
                      <w:pPr>
                        <w:jc w:val="both"/>
                        <w:rPr>
                          <w:color w:val="FF0000"/>
                        </w:rPr>
                      </w:pPr>
                    </w:p>
                    <w:p w14:paraId="768C9C9E" w14:textId="12172C58" w:rsidR="00A07A52" w:rsidRDefault="00A07A52" w:rsidP="00141C8B">
                      <w:pPr>
                        <w:jc w:val="both"/>
                        <w:rPr>
                          <w:color w:val="FF0000"/>
                        </w:rPr>
                      </w:pPr>
                      <w:r w:rsidRPr="00280263">
                        <w:rPr>
                          <w:color w:val="FF0000"/>
                        </w:rPr>
                        <w:t xml:space="preserve">Eldri útgáfur hafa tekið gildi á meðan unnið er að nýjum útgáfum. Að mestu er um að ræða ritstjórnarleg atriði (e. editorial), en að sama skapi hefur þessi vinna leitt til ákveðinnar samræmingar milli staðlanna. </w:t>
                      </w:r>
                      <w:r>
                        <w:rPr>
                          <w:color w:val="FF0000"/>
                        </w:rPr>
                        <w:t>Tvær formlegar atkvæðagreiðslur (e. Formal Vote) hafa síðan farið fram um staðlana og lauk þeirri seinni</w:t>
                      </w:r>
                      <w:r w:rsidRPr="00280263">
                        <w:rPr>
                          <w:color w:val="FF0000"/>
                        </w:rPr>
                        <w:t xml:space="preserve"> í ágúst 2018.</w:t>
                      </w:r>
                      <w:r>
                        <w:rPr>
                          <w:color w:val="FF0000"/>
                        </w:rPr>
                        <w:t xml:space="preserve"> Í báðum tilfellum samþykktu nær allar aðildarþjóðir ESB og evrópska efnahagssvæðisins staðlana en í báðum tilfellum höfnuðu eftirlitsaðilar Evrópuráðsins (e. European Commision) að samþykkja þá óbreytta. Í framhaldi af þessari stöðu ákvað CEN TC 154 nefndin að sameina framleiðslustaðlana fyrir steinefni í steinsteypu, bikbundin lög og óbundin auk steinefna í múrblöndur í einn staðal sem verður númer EN 17555-1. Vonast er til að þrátt fyrir þessar tafir muni </w:t>
                      </w:r>
                      <w:r w:rsidRPr="00280263">
                        <w:rPr>
                          <w:color w:val="FF0000"/>
                        </w:rPr>
                        <w:t>ný</w:t>
                      </w:r>
                      <w:r>
                        <w:rPr>
                          <w:color w:val="FF0000"/>
                        </w:rPr>
                        <w:t>i</w:t>
                      </w:r>
                      <w:r w:rsidR="00D46BF6">
                        <w:rPr>
                          <w:color w:val="FF0000"/>
                        </w:rPr>
                        <w:t xml:space="preserve"> </w:t>
                      </w:r>
                      <w:r>
                        <w:rPr>
                          <w:color w:val="FF0000"/>
                        </w:rPr>
                        <w:t>framleiðslustaðallinn koma út á árinu 2022 eftir þriðju formlegu atkvæðagreiðsluna</w:t>
                      </w:r>
                      <w:r w:rsidRPr="00280263">
                        <w:rPr>
                          <w:color w:val="FF0000"/>
                        </w:rPr>
                        <w:t>.</w:t>
                      </w:r>
                      <w:r>
                        <w:rPr>
                          <w:color w:val="FF0000"/>
                        </w:rPr>
                        <w:t xml:space="preserve"> Vegna þessara tafa mun endurútgáfa fylgistaðals um steinefni ÍST 76 dragast til ársins 2022. Efnisgæðaritið tekur mið af þeim stöðlum sem nú eru í farvatninu þó að formleg útgáfa þeirra hafi dregist. </w:t>
                      </w:r>
                    </w:p>
                    <w:p w14:paraId="65876404" w14:textId="77777777" w:rsidR="00A07A52" w:rsidRPr="00280263" w:rsidRDefault="00A07A52" w:rsidP="00141C8B">
                      <w:pPr>
                        <w:jc w:val="both"/>
                        <w:rPr>
                          <w:color w:val="FF0000"/>
                        </w:rPr>
                      </w:pPr>
                    </w:p>
                    <w:p w14:paraId="29BDE0DD" w14:textId="0DAE98E9" w:rsidR="00A07A52" w:rsidRPr="00280263" w:rsidRDefault="00A07A52" w:rsidP="00F47A60">
                      <w:pPr>
                        <w:jc w:val="both"/>
                        <w:rPr>
                          <w:color w:val="FF0000"/>
                        </w:rPr>
                      </w:pPr>
                      <w:r>
                        <w:rPr>
                          <w:color w:val="FF0000"/>
                        </w:rPr>
                        <w:t>F</w:t>
                      </w:r>
                      <w:r w:rsidRPr="00280263">
                        <w:rPr>
                          <w:color w:val="FF0000"/>
                        </w:rPr>
                        <w:t>ramleiðslustaðlar undir CEN TC 227 sem fjalla um vegagerðarefni</w:t>
                      </w:r>
                      <w:r>
                        <w:rPr>
                          <w:color w:val="FF0000"/>
                        </w:rPr>
                        <w:t>,</w:t>
                      </w:r>
                      <w:r w:rsidRPr="00280263">
                        <w:rPr>
                          <w:color w:val="FF0000"/>
                        </w:rPr>
                        <w:t xml:space="preserve"> m.a. malbik og klæðingu, voru gefnir út á árinu 2016. Sambærileg ritstjórnarleg atriði þarfnast leiðréttingar í þeim stöðlum</w:t>
                      </w:r>
                      <w:r>
                        <w:rPr>
                          <w:color w:val="FF0000"/>
                        </w:rPr>
                        <w:t>. Fylgistaðall fyrir malbik ÍST 75 verður endurskoðaður þegar nýir staðlar hafa tekið gildi.</w:t>
                      </w:r>
                    </w:p>
                    <w:p w14:paraId="40201477" w14:textId="77777777" w:rsidR="00A07A52" w:rsidRDefault="00A07A52" w:rsidP="00485600">
                      <w:pPr>
                        <w:jc w:val="both"/>
                        <w:rPr>
                          <w:color w:val="FF0000"/>
                        </w:rPr>
                      </w:pPr>
                    </w:p>
                    <w:p w14:paraId="03E4C877" w14:textId="77777777" w:rsidR="00A07A52" w:rsidRPr="00280263" w:rsidRDefault="00A07A52" w:rsidP="00485600">
                      <w:pPr>
                        <w:jc w:val="both"/>
                        <w:rPr>
                          <w:color w:val="FF0000"/>
                        </w:rPr>
                      </w:pPr>
                    </w:p>
                  </w:txbxContent>
                </v:textbox>
              </v:shape>
            </w:pict>
          </mc:Fallback>
        </mc:AlternateContent>
      </w:r>
      <w:bookmarkEnd w:id="11"/>
      <w:r w:rsidR="00EA023E" w:rsidRPr="00220C65">
        <w:br w:type="page"/>
      </w:r>
      <w:bookmarkStart w:id="13" w:name="_Toc309656283"/>
      <w:bookmarkStart w:id="14" w:name="_Toc405896758"/>
      <w:r w:rsidR="00550912" w:rsidRPr="00206832">
        <w:rPr>
          <w:b/>
          <w:sz w:val="32"/>
          <w:szCs w:val="32"/>
        </w:rPr>
        <w:lastRenderedPageBreak/>
        <w:t>Efnisyfirlit</w:t>
      </w:r>
      <w:bookmarkEnd w:id="10"/>
      <w:bookmarkEnd w:id="12"/>
      <w:bookmarkEnd w:id="13"/>
      <w:bookmarkEnd w:id="14"/>
    </w:p>
    <w:p w14:paraId="248AC20F" w14:textId="77777777" w:rsidR="00D46BF6" w:rsidRDefault="006304D6">
      <w:pPr>
        <w:pStyle w:val="TOC2"/>
        <w:rPr>
          <w:rFonts w:asciiTheme="minorHAnsi" w:eastAsiaTheme="minorEastAsia" w:hAnsiTheme="minorHAnsi" w:cstheme="minorBidi"/>
          <w:sz w:val="22"/>
          <w:szCs w:val="22"/>
          <w:lang w:val="en-GB" w:eastAsia="en-GB"/>
        </w:rPr>
      </w:pPr>
      <w:r>
        <w:fldChar w:fldCharType="begin"/>
      </w:r>
      <w:r w:rsidR="00F66DBD">
        <w:instrText xml:space="preserve"> TOC \o "1-3" \h \z \u </w:instrText>
      </w:r>
      <w:r>
        <w:fldChar w:fldCharType="separate"/>
      </w:r>
      <w:hyperlink w:anchor="_Toc52971429" w:history="1">
        <w:r w:rsidR="00D46BF6">
          <w:rPr>
            <w:webHidden/>
          </w:rPr>
          <w:tab/>
        </w:r>
        <w:r w:rsidR="00D46BF6">
          <w:rPr>
            <w:webHidden/>
          </w:rPr>
          <w:fldChar w:fldCharType="begin"/>
        </w:r>
        <w:r w:rsidR="00D46BF6">
          <w:rPr>
            <w:webHidden/>
          </w:rPr>
          <w:instrText xml:space="preserve"> PAGEREF _Toc52971429 \h </w:instrText>
        </w:r>
        <w:r w:rsidR="00D46BF6">
          <w:rPr>
            <w:webHidden/>
          </w:rPr>
        </w:r>
        <w:r w:rsidR="00D46BF6">
          <w:rPr>
            <w:webHidden/>
          </w:rPr>
          <w:fldChar w:fldCharType="separate"/>
        </w:r>
        <w:r w:rsidR="00804B61">
          <w:rPr>
            <w:webHidden/>
          </w:rPr>
          <w:t>1</w:t>
        </w:r>
        <w:r w:rsidR="00D46BF6">
          <w:rPr>
            <w:webHidden/>
          </w:rPr>
          <w:fldChar w:fldCharType="end"/>
        </w:r>
      </w:hyperlink>
    </w:p>
    <w:p w14:paraId="7A437098" w14:textId="77777777" w:rsidR="00D46BF6" w:rsidRDefault="0086623E">
      <w:pPr>
        <w:pStyle w:val="TOC1"/>
        <w:tabs>
          <w:tab w:val="right" w:leader="dot" w:pos="8296"/>
        </w:tabs>
        <w:rPr>
          <w:rFonts w:asciiTheme="minorHAnsi" w:eastAsiaTheme="minorEastAsia" w:hAnsiTheme="minorHAnsi" w:cstheme="minorBidi"/>
          <w:noProof/>
          <w:sz w:val="22"/>
          <w:szCs w:val="22"/>
          <w:lang w:val="en-GB" w:eastAsia="en-GB"/>
        </w:rPr>
      </w:pPr>
      <w:hyperlink w:anchor="_Toc52971430" w:history="1">
        <w:r w:rsidR="00D46BF6" w:rsidRPr="00813364">
          <w:rPr>
            <w:rStyle w:val="Hyperlink"/>
            <w:noProof/>
          </w:rPr>
          <w:t>Athugasemd:</w:t>
        </w:r>
        <w:r w:rsidR="00D46BF6">
          <w:rPr>
            <w:noProof/>
            <w:webHidden/>
          </w:rPr>
          <w:tab/>
        </w:r>
        <w:r w:rsidR="00D46BF6">
          <w:rPr>
            <w:noProof/>
            <w:webHidden/>
          </w:rPr>
          <w:fldChar w:fldCharType="begin"/>
        </w:r>
        <w:r w:rsidR="00D46BF6">
          <w:rPr>
            <w:noProof/>
            <w:webHidden/>
          </w:rPr>
          <w:instrText xml:space="preserve"> PAGEREF _Toc52971430 \h </w:instrText>
        </w:r>
        <w:r w:rsidR="00D46BF6">
          <w:rPr>
            <w:noProof/>
            <w:webHidden/>
          </w:rPr>
        </w:r>
        <w:r w:rsidR="00D46BF6">
          <w:rPr>
            <w:noProof/>
            <w:webHidden/>
          </w:rPr>
          <w:fldChar w:fldCharType="separate"/>
        </w:r>
        <w:r w:rsidR="00804B61">
          <w:rPr>
            <w:noProof/>
            <w:webHidden/>
          </w:rPr>
          <w:t>2</w:t>
        </w:r>
        <w:r w:rsidR="00D46BF6">
          <w:rPr>
            <w:noProof/>
            <w:webHidden/>
          </w:rPr>
          <w:fldChar w:fldCharType="end"/>
        </w:r>
      </w:hyperlink>
    </w:p>
    <w:p w14:paraId="08436B70" w14:textId="77777777" w:rsidR="00D46BF6" w:rsidRDefault="0086623E">
      <w:pPr>
        <w:pStyle w:val="TOC1"/>
        <w:tabs>
          <w:tab w:val="left" w:pos="480"/>
          <w:tab w:val="right" w:leader="dot" w:pos="8296"/>
        </w:tabs>
        <w:rPr>
          <w:rFonts w:asciiTheme="minorHAnsi" w:eastAsiaTheme="minorEastAsia" w:hAnsiTheme="minorHAnsi" w:cstheme="minorBidi"/>
          <w:noProof/>
          <w:sz w:val="22"/>
          <w:szCs w:val="22"/>
          <w:lang w:val="en-GB" w:eastAsia="en-GB"/>
        </w:rPr>
      </w:pPr>
      <w:hyperlink w:anchor="_Toc52971431" w:history="1">
        <w:r w:rsidR="00D46BF6" w:rsidRPr="00813364">
          <w:rPr>
            <w:rStyle w:val="Hyperlink"/>
            <w:noProof/>
          </w:rPr>
          <w:t>1</w:t>
        </w:r>
        <w:r w:rsidR="00D46BF6">
          <w:rPr>
            <w:rFonts w:asciiTheme="minorHAnsi" w:eastAsiaTheme="minorEastAsia" w:hAnsiTheme="minorHAnsi" w:cstheme="minorBidi"/>
            <w:noProof/>
            <w:sz w:val="22"/>
            <w:szCs w:val="22"/>
            <w:lang w:val="en-GB" w:eastAsia="en-GB"/>
          </w:rPr>
          <w:tab/>
        </w:r>
        <w:r w:rsidR="00D46BF6" w:rsidRPr="00813364">
          <w:rPr>
            <w:rStyle w:val="Hyperlink"/>
            <w:noProof/>
          </w:rPr>
          <w:t>Inngangur</w:t>
        </w:r>
        <w:r w:rsidR="00D46BF6">
          <w:rPr>
            <w:noProof/>
            <w:webHidden/>
          </w:rPr>
          <w:tab/>
        </w:r>
        <w:r w:rsidR="00D46BF6">
          <w:rPr>
            <w:noProof/>
            <w:webHidden/>
          </w:rPr>
          <w:fldChar w:fldCharType="begin"/>
        </w:r>
        <w:r w:rsidR="00D46BF6">
          <w:rPr>
            <w:noProof/>
            <w:webHidden/>
          </w:rPr>
          <w:instrText xml:space="preserve"> PAGEREF _Toc52971431 \h </w:instrText>
        </w:r>
        <w:r w:rsidR="00D46BF6">
          <w:rPr>
            <w:noProof/>
            <w:webHidden/>
          </w:rPr>
        </w:r>
        <w:r w:rsidR="00D46BF6">
          <w:rPr>
            <w:noProof/>
            <w:webHidden/>
          </w:rPr>
          <w:fldChar w:fldCharType="separate"/>
        </w:r>
        <w:r w:rsidR="00804B61">
          <w:rPr>
            <w:noProof/>
            <w:webHidden/>
          </w:rPr>
          <w:t>4</w:t>
        </w:r>
        <w:r w:rsidR="00D46BF6">
          <w:rPr>
            <w:noProof/>
            <w:webHidden/>
          </w:rPr>
          <w:fldChar w:fldCharType="end"/>
        </w:r>
      </w:hyperlink>
    </w:p>
    <w:p w14:paraId="1D7D50AD" w14:textId="77777777" w:rsidR="00D46BF6" w:rsidRDefault="0086623E">
      <w:pPr>
        <w:pStyle w:val="TOC1"/>
        <w:tabs>
          <w:tab w:val="left" w:pos="480"/>
          <w:tab w:val="right" w:leader="dot" w:pos="8296"/>
        </w:tabs>
        <w:rPr>
          <w:rFonts w:asciiTheme="minorHAnsi" w:eastAsiaTheme="minorEastAsia" w:hAnsiTheme="minorHAnsi" w:cstheme="minorBidi"/>
          <w:noProof/>
          <w:sz w:val="22"/>
          <w:szCs w:val="22"/>
          <w:lang w:val="en-GB" w:eastAsia="en-GB"/>
        </w:rPr>
      </w:pPr>
      <w:hyperlink w:anchor="_Toc52971432" w:history="1">
        <w:r w:rsidR="00D46BF6" w:rsidRPr="00813364">
          <w:rPr>
            <w:rStyle w:val="Hyperlink"/>
            <w:noProof/>
          </w:rPr>
          <w:t>2</w:t>
        </w:r>
        <w:r w:rsidR="00D46BF6">
          <w:rPr>
            <w:rFonts w:asciiTheme="minorHAnsi" w:eastAsiaTheme="minorEastAsia" w:hAnsiTheme="minorHAnsi" w:cstheme="minorBidi"/>
            <w:noProof/>
            <w:sz w:val="22"/>
            <w:szCs w:val="22"/>
            <w:lang w:val="en-GB" w:eastAsia="en-GB"/>
          </w:rPr>
          <w:tab/>
        </w:r>
        <w:r w:rsidR="00D46BF6" w:rsidRPr="00813364">
          <w:rPr>
            <w:rStyle w:val="Hyperlink"/>
            <w:noProof/>
          </w:rPr>
          <w:t>Steinefnaframleiðsla</w:t>
        </w:r>
        <w:r w:rsidR="00D46BF6">
          <w:rPr>
            <w:noProof/>
            <w:webHidden/>
          </w:rPr>
          <w:tab/>
        </w:r>
        <w:r w:rsidR="00D46BF6">
          <w:rPr>
            <w:noProof/>
            <w:webHidden/>
          </w:rPr>
          <w:fldChar w:fldCharType="begin"/>
        </w:r>
        <w:r w:rsidR="00D46BF6">
          <w:rPr>
            <w:noProof/>
            <w:webHidden/>
          </w:rPr>
          <w:instrText xml:space="preserve"> PAGEREF _Toc52971432 \h </w:instrText>
        </w:r>
        <w:r w:rsidR="00D46BF6">
          <w:rPr>
            <w:noProof/>
            <w:webHidden/>
          </w:rPr>
        </w:r>
        <w:r w:rsidR="00D46BF6">
          <w:rPr>
            <w:noProof/>
            <w:webHidden/>
          </w:rPr>
          <w:fldChar w:fldCharType="separate"/>
        </w:r>
        <w:r w:rsidR="00804B61">
          <w:rPr>
            <w:noProof/>
            <w:webHidden/>
          </w:rPr>
          <w:t>5</w:t>
        </w:r>
        <w:r w:rsidR="00D46BF6">
          <w:rPr>
            <w:noProof/>
            <w:webHidden/>
          </w:rPr>
          <w:fldChar w:fldCharType="end"/>
        </w:r>
      </w:hyperlink>
    </w:p>
    <w:p w14:paraId="6B8CBE08" w14:textId="77777777" w:rsidR="00D46BF6" w:rsidRDefault="0086623E">
      <w:pPr>
        <w:pStyle w:val="TOC2"/>
        <w:tabs>
          <w:tab w:val="left" w:pos="660"/>
        </w:tabs>
        <w:rPr>
          <w:rFonts w:asciiTheme="minorHAnsi" w:eastAsiaTheme="minorEastAsia" w:hAnsiTheme="minorHAnsi" w:cstheme="minorBidi"/>
          <w:sz w:val="22"/>
          <w:szCs w:val="22"/>
          <w:lang w:val="en-GB" w:eastAsia="en-GB"/>
        </w:rPr>
      </w:pPr>
      <w:hyperlink w:anchor="_Toc52971433" w:history="1">
        <w:r w:rsidR="00D46BF6" w:rsidRPr="00813364">
          <w:rPr>
            <w:rStyle w:val="Hyperlink"/>
          </w:rPr>
          <w:t>2.1</w:t>
        </w:r>
        <w:r w:rsidR="00D46BF6">
          <w:rPr>
            <w:rFonts w:asciiTheme="minorHAnsi" w:eastAsiaTheme="minorEastAsia" w:hAnsiTheme="minorHAnsi" w:cstheme="minorBidi"/>
            <w:sz w:val="22"/>
            <w:szCs w:val="22"/>
            <w:lang w:val="en-GB" w:eastAsia="en-GB"/>
          </w:rPr>
          <w:tab/>
        </w:r>
        <w:r w:rsidR="00D46BF6" w:rsidRPr="00813364">
          <w:rPr>
            <w:rStyle w:val="Hyperlink"/>
          </w:rPr>
          <w:t>Almennt</w:t>
        </w:r>
        <w:r w:rsidR="00D46BF6">
          <w:rPr>
            <w:webHidden/>
          </w:rPr>
          <w:tab/>
        </w:r>
        <w:r w:rsidR="00D46BF6">
          <w:rPr>
            <w:webHidden/>
          </w:rPr>
          <w:fldChar w:fldCharType="begin"/>
        </w:r>
        <w:r w:rsidR="00D46BF6">
          <w:rPr>
            <w:webHidden/>
          </w:rPr>
          <w:instrText xml:space="preserve"> PAGEREF _Toc52971433 \h </w:instrText>
        </w:r>
        <w:r w:rsidR="00D46BF6">
          <w:rPr>
            <w:webHidden/>
          </w:rPr>
        </w:r>
        <w:r w:rsidR="00D46BF6">
          <w:rPr>
            <w:webHidden/>
          </w:rPr>
          <w:fldChar w:fldCharType="separate"/>
        </w:r>
        <w:r w:rsidR="00804B61">
          <w:rPr>
            <w:webHidden/>
          </w:rPr>
          <w:t>5</w:t>
        </w:r>
        <w:r w:rsidR="00D46BF6">
          <w:rPr>
            <w:webHidden/>
          </w:rPr>
          <w:fldChar w:fldCharType="end"/>
        </w:r>
      </w:hyperlink>
    </w:p>
    <w:p w14:paraId="11633A29" w14:textId="77777777" w:rsidR="00D46BF6" w:rsidRDefault="0086623E">
      <w:pPr>
        <w:pStyle w:val="TOC2"/>
        <w:tabs>
          <w:tab w:val="left" w:pos="660"/>
        </w:tabs>
        <w:rPr>
          <w:rFonts w:asciiTheme="minorHAnsi" w:eastAsiaTheme="minorEastAsia" w:hAnsiTheme="minorHAnsi" w:cstheme="minorBidi"/>
          <w:sz w:val="22"/>
          <w:szCs w:val="22"/>
          <w:lang w:val="en-GB" w:eastAsia="en-GB"/>
        </w:rPr>
      </w:pPr>
      <w:hyperlink w:anchor="_Toc52971434" w:history="1">
        <w:r w:rsidR="00D46BF6" w:rsidRPr="00813364">
          <w:rPr>
            <w:rStyle w:val="Hyperlink"/>
          </w:rPr>
          <w:t>2.2</w:t>
        </w:r>
        <w:r w:rsidR="00D46BF6">
          <w:rPr>
            <w:rFonts w:asciiTheme="minorHAnsi" w:eastAsiaTheme="minorEastAsia" w:hAnsiTheme="minorHAnsi" w:cstheme="minorBidi"/>
            <w:sz w:val="22"/>
            <w:szCs w:val="22"/>
            <w:lang w:val="en-GB" w:eastAsia="en-GB"/>
          </w:rPr>
          <w:tab/>
        </w:r>
        <w:r w:rsidR="00D46BF6" w:rsidRPr="00813364">
          <w:rPr>
            <w:rStyle w:val="Hyperlink"/>
          </w:rPr>
          <w:t>Prófanir vegna efnistöku utan markaðar</w:t>
        </w:r>
        <w:r w:rsidR="00D46BF6">
          <w:rPr>
            <w:webHidden/>
          </w:rPr>
          <w:tab/>
        </w:r>
        <w:r w:rsidR="00D46BF6">
          <w:rPr>
            <w:webHidden/>
          </w:rPr>
          <w:fldChar w:fldCharType="begin"/>
        </w:r>
        <w:r w:rsidR="00D46BF6">
          <w:rPr>
            <w:webHidden/>
          </w:rPr>
          <w:instrText xml:space="preserve"> PAGEREF _Toc52971434 \h </w:instrText>
        </w:r>
        <w:r w:rsidR="00D46BF6">
          <w:rPr>
            <w:webHidden/>
          </w:rPr>
        </w:r>
        <w:r w:rsidR="00D46BF6">
          <w:rPr>
            <w:webHidden/>
          </w:rPr>
          <w:fldChar w:fldCharType="separate"/>
        </w:r>
        <w:r w:rsidR="00804B61">
          <w:rPr>
            <w:webHidden/>
          </w:rPr>
          <w:t>6</w:t>
        </w:r>
        <w:r w:rsidR="00D46BF6">
          <w:rPr>
            <w:webHidden/>
          </w:rPr>
          <w:fldChar w:fldCharType="end"/>
        </w:r>
      </w:hyperlink>
    </w:p>
    <w:p w14:paraId="26BAF71C" w14:textId="77777777" w:rsidR="00D46BF6" w:rsidRDefault="0086623E">
      <w:pPr>
        <w:pStyle w:val="TOC2"/>
        <w:tabs>
          <w:tab w:val="left" w:pos="660"/>
        </w:tabs>
        <w:rPr>
          <w:rFonts w:asciiTheme="minorHAnsi" w:eastAsiaTheme="minorEastAsia" w:hAnsiTheme="minorHAnsi" w:cstheme="minorBidi"/>
          <w:sz w:val="22"/>
          <w:szCs w:val="22"/>
          <w:lang w:val="en-GB" w:eastAsia="en-GB"/>
        </w:rPr>
      </w:pPr>
      <w:hyperlink w:anchor="_Toc52971435" w:history="1">
        <w:r w:rsidR="00D46BF6" w:rsidRPr="00813364">
          <w:rPr>
            <w:rStyle w:val="Hyperlink"/>
          </w:rPr>
          <w:t>2.3</w:t>
        </w:r>
        <w:r w:rsidR="00D46BF6">
          <w:rPr>
            <w:rFonts w:asciiTheme="minorHAnsi" w:eastAsiaTheme="minorEastAsia" w:hAnsiTheme="minorHAnsi" w:cstheme="minorBidi"/>
            <w:sz w:val="22"/>
            <w:szCs w:val="22"/>
            <w:lang w:val="en-GB" w:eastAsia="en-GB"/>
          </w:rPr>
          <w:tab/>
        </w:r>
        <w:r w:rsidR="00D46BF6" w:rsidRPr="00813364">
          <w:rPr>
            <w:rStyle w:val="Hyperlink"/>
          </w:rPr>
          <w:t>Gerðarprófanir og eftirlit með framleiðslu steinefna á markað</w:t>
        </w:r>
        <w:r w:rsidR="00D46BF6">
          <w:rPr>
            <w:webHidden/>
          </w:rPr>
          <w:tab/>
        </w:r>
        <w:r w:rsidR="00D46BF6">
          <w:rPr>
            <w:webHidden/>
          </w:rPr>
          <w:fldChar w:fldCharType="begin"/>
        </w:r>
        <w:r w:rsidR="00D46BF6">
          <w:rPr>
            <w:webHidden/>
          </w:rPr>
          <w:instrText xml:space="preserve"> PAGEREF _Toc52971435 \h </w:instrText>
        </w:r>
        <w:r w:rsidR="00D46BF6">
          <w:rPr>
            <w:webHidden/>
          </w:rPr>
        </w:r>
        <w:r w:rsidR="00D46BF6">
          <w:rPr>
            <w:webHidden/>
          </w:rPr>
          <w:fldChar w:fldCharType="separate"/>
        </w:r>
        <w:r w:rsidR="00804B61">
          <w:rPr>
            <w:webHidden/>
          </w:rPr>
          <w:t>8</w:t>
        </w:r>
        <w:r w:rsidR="00D46BF6">
          <w:rPr>
            <w:webHidden/>
          </w:rPr>
          <w:fldChar w:fldCharType="end"/>
        </w:r>
      </w:hyperlink>
    </w:p>
    <w:p w14:paraId="6DA6BA32" w14:textId="77777777" w:rsidR="00D46BF6" w:rsidRDefault="0086623E">
      <w:pPr>
        <w:pStyle w:val="TOC1"/>
        <w:tabs>
          <w:tab w:val="left" w:pos="480"/>
          <w:tab w:val="right" w:leader="dot" w:pos="8296"/>
        </w:tabs>
        <w:rPr>
          <w:rFonts w:asciiTheme="minorHAnsi" w:eastAsiaTheme="minorEastAsia" w:hAnsiTheme="minorHAnsi" w:cstheme="minorBidi"/>
          <w:noProof/>
          <w:sz w:val="22"/>
          <w:szCs w:val="22"/>
          <w:lang w:val="en-GB" w:eastAsia="en-GB"/>
        </w:rPr>
      </w:pPr>
      <w:hyperlink w:anchor="_Toc52971436" w:history="1">
        <w:r w:rsidR="00D46BF6" w:rsidRPr="00813364">
          <w:rPr>
            <w:rStyle w:val="Hyperlink"/>
            <w:noProof/>
          </w:rPr>
          <w:t>3</w:t>
        </w:r>
        <w:r w:rsidR="00D46BF6">
          <w:rPr>
            <w:rFonts w:asciiTheme="minorHAnsi" w:eastAsiaTheme="minorEastAsia" w:hAnsiTheme="minorHAnsi" w:cstheme="minorBidi"/>
            <w:noProof/>
            <w:sz w:val="22"/>
            <w:szCs w:val="22"/>
            <w:lang w:val="en-GB" w:eastAsia="en-GB"/>
          </w:rPr>
          <w:tab/>
        </w:r>
        <w:r w:rsidR="00D46BF6" w:rsidRPr="00813364">
          <w:rPr>
            <w:rStyle w:val="Hyperlink"/>
            <w:noProof/>
          </w:rPr>
          <w:t>Malbiksframleiðsla</w:t>
        </w:r>
        <w:r w:rsidR="00D46BF6">
          <w:rPr>
            <w:noProof/>
            <w:webHidden/>
          </w:rPr>
          <w:tab/>
        </w:r>
        <w:r w:rsidR="00D46BF6">
          <w:rPr>
            <w:noProof/>
            <w:webHidden/>
          </w:rPr>
          <w:fldChar w:fldCharType="begin"/>
        </w:r>
        <w:r w:rsidR="00D46BF6">
          <w:rPr>
            <w:noProof/>
            <w:webHidden/>
          </w:rPr>
          <w:instrText xml:space="preserve"> PAGEREF _Toc52971436 \h </w:instrText>
        </w:r>
        <w:r w:rsidR="00D46BF6">
          <w:rPr>
            <w:noProof/>
            <w:webHidden/>
          </w:rPr>
        </w:r>
        <w:r w:rsidR="00D46BF6">
          <w:rPr>
            <w:noProof/>
            <w:webHidden/>
          </w:rPr>
          <w:fldChar w:fldCharType="separate"/>
        </w:r>
        <w:r w:rsidR="00804B61">
          <w:rPr>
            <w:noProof/>
            <w:webHidden/>
          </w:rPr>
          <w:t>11</w:t>
        </w:r>
        <w:r w:rsidR="00D46BF6">
          <w:rPr>
            <w:noProof/>
            <w:webHidden/>
          </w:rPr>
          <w:fldChar w:fldCharType="end"/>
        </w:r>
      </w:hyperlink>
    </w:p>
    <w:p w14:paraId="304205E1" w14:textId="77777777" w:rsidR="00D46BF6" w:rsidRDefault="0086623E">
      <w:pPr>
        <w:pStyle w:val="TOC2"/>
        <w:tabs>
          <w:tab w:val="left" w:pos="660"/>
        </w:tabs>
        <w:rPr>
          <w:rFonts w:asciiTheme="minorHAnsi" w:eastAsiaTheme="minorEastAsia" w:hAnsiTheme="minorHAnsi" w:cstheme="minorBidi"/>
          <w:sz w:val="22"/>
          <w:szCs w:val="22"/>
          <w:lang w:val="en-GB" w:eastAsia="en-GB"/>
        </w:rPr>
      </w:pPr>
      <w:hyperlink w:anchor="_Toc52971437" w:history="1">
        <w:r w:rsidR="00D46BF6" w:rsidRPr="00813364">
          <w:rPr>
            <w:rStyle w:val="Hyperlink"/>
          </w:rPr>
          <w:t>3.1</w:t>
        </w:r>
        <w:r w:rsidR="00D46BF6">
          <w:rPr>
            <w:rFonts w:asciiTheme="minorHAnsi" w:eastAsiaTheme="minorEastAsia" w:hAnsiTheme="minorHAnsi" w:cstheme="minorBidi"/>
            <w:sz w:val="22"/>
            <w:szCs w:val="22"/>
            <w:lang w:val="en-GB" w:eastAsia="en-GB"/>
          </w:rPr>
          <w:tab/>
        </w:r>
        <w:r w:rsidR="00D46BF6" w:rsidRPr="00813364">
          <w:rPr>
            <w:rStyle w:val="Hyperlink"/>
          </w:rPr>
          <w:t>Almennt</w:t>
        </w:r>
        <w:r w:rsidR="00D46BF6">
          <w:rPr>
            <w:webHidden/>
          </w:rPr>
          <w:tab/>
        </w:r>
        <w:r w:rsidR="00D46BF6">
          <w:rPr>
            <w:webHidden/>
          </w:rPr>
          <w:fldChar w:fldCharType="begin"/>
        </w:r>
        <w:r w:rsidR="00D46BF6">
          <w:rPr>
            <w:webHidden/>
          </w:rPr>
          <w:instrText xml:space="preserve"> PAGEREF _Toc52971437 \h </w:instrText>
        </w:r>
        <w:r w:rsidR="00D46BF6">
          <w:rPr>
            <w:webHidden/>
          </w:rPr>
        </w:r>
        <w:r w:rsidR="00D46BF6">
          <w:rPr>
            <w:webHidden/>
          </w:rPr>
          <w:fldChar w:fldCharType="separate"/>
        </w:r>
        <w:r w:rsidR="00804B61">
          <w:rPr>
            <w:webHidden/>
          </w:rPr>
          <w:t>11</w:t>
        </w:r>
        <w:r w:rsidR="00D46BF6">
          <w:rPr>
            <w:webHidden/>
          </w:rPr>
          <w:fldChar w:fldCharType="end"/>
        </w:r>
      </w:hyperlink>
    </w:p>
    <w:p w14:paraId="6FE84A00" w14:textId="77777777" w:rsidR="00D46BF6" w:rsidRDefault="0086623E">
      <w:pPr>
        <w:pStyle w:val="TOC2"/>
        <w:tabs>
          <w:tab w:val="left" w:pos="660"/>
        </w:tabs>
        <w:rPr>
          <w:rFonts w:asciiTheme="minorHAnsi" w:eastAsiaTheme="minorEastAsia" w:hAnsiTheme="minorHAnsi" w:cstheme="minorBidi"/>
          <w:sz w:val="22"/>
          <w:szCs w:val="22"/>
          <w:lang w:val="en-GB" w:eastAsia="en-GB"/>
        </w:rPr>
      </w:pPr>
      <w:hyperlink w:anchor="_Toc52971438" w:history="1">
        <w:r w:rsidR="00D46BF6" w:rsidRPr="00813364">
          <w:rPr>
            <w:rStyle w:val="Hyperlink"/>
          </w:rPr>
          <w:t>3.2</w:t>
        </w:r>
        <w:r w:rsidR="00D46BF6">
          <w:rPr>
            <w:rFonts w:asciiTheme="minorHAnsi" w:eastAsiaTheme="minorEastAsia" w:hAnsiTheme="minorHAnsi" w:cstheme="minorBidi"/>
            <w:sz w:val="22"/>
            <w:szCs w:val="22"/>
            <w:lang w:val="en-GB" w:eastAsia="en-GB"/>
          </w:rPr>
          <w:tab/>
        </w:r>
        <w:r w:rsidR="00D46BF6" w:rsidRPr="00813364">
          <w:rPr>
            <w:rStyle w:val="Hyperlink"/>
          </w:rPr>
          <w:t>Gerðarprófanir</w:t>
        </w:r>
        <w:r w:rsidR="00D46BF6">
          <w:rPr>
            <w:webHidden/>
          </w:rPr>
          <w:tab/>
        </w:r>
        <w:r w:rsidR="00D46BF6">
          <w:rPr>
            <w:webHidden/>
          </w:rPr>
          <w:fldChar w:fldCharType="begin"/>
        </w:r>
        <w:r w:rsidR="00D46BF6">
          <w:rPr>
            <w:webHidden/>
          </w:rPr>
          <w:instrText xml:space="preserve"> PAGEREF _Toc52971438 \h </w:instrText>
        </w:r>
        <w:r w:rsidR="00D46BF6">
          <w:rPr>
            <w:webHidden/>
          </w:rPr>
        </w:r>
        <w:r w:rsidR="00D46BF6">
          <w:rPr>
            <w:webHidden/>
          </w:rPr>
          <w:fldChar w:fldCharType="separate"/>
        </w:r>
        <w:r w:rsidR="00804B61">
          <w:rPr>
            <w:webHidden/>
          </w:rPr>
          <w:t>11</w:t>
        </w:r>
        <w:r w:rsidR="00D46BF6">
          <w:rPr>
            <w:webHidden/>
          </w:rPr>
          <w:fldChar w:fldCharType="end"/>
        </w:r>
      </w:hyperlink>
    </w:p>
    <w:p w14:paraId="3D6BC3DB" w14:textId="77777777" w:rsidR="00D46BF6" w:rsidRDefault="0086623E">
      <w:pPr>
        <w:pStyle w:val="TOC3"/>
        <w:tabs>
          <w:tab w:val="left" w:pos="1320"/>
          <w:tab w:val="right" w:leader="dot" w:pos="8296"/>
        </w:tabs>
        <w:rPr>
          <w:rFonts w:asciiTheme="minorHAnsi" w:eastAsiaTheme="minorEastAsia" w:hAnsiTheme="minorHAnsi" w:cstheme="minorBidi"/>
          <w:noProof/>
          <w:sz w:val="22"/>
          <w:szCs w:val="22"/>
          <w:lang w:val="en-GB" w:eastAsia="en-GB"/>
        </w:rPr>
      </w:pPr>
      <w:hyperlink w:anchor="_Toc52971439" w:history="1">
        <w:r w:rsidR="00D46BF6" w:rsidRPr="00813364">
          <w:rPr>
            <w:rStyle w:val="Hyperlink"/>
            <w:noProof/>
          </w:rPr>
          <w:t>3.2.1</w:t>
        </w:r>
        <w:r w:rsidR="00D46BF6">
          <w:rPr>
            <w:rFonts w:asciiTheme="minorHAnsi" w:eastAsiaTheme="minorEastAsia" w:hAnsiTheme="minorHAnsi" w:cstheme="minorBidi"/>
            <w:noProof/>
            <w:sz w:val="22"/>
            <w:szCs w:val="22"/>
            <w:lang w:val="en-GB" w:eastAsia="en-GB"/>
          </w:rPr>
          <w:tab/>
        </w:r>
        <w:r w:rsidR="00D46BF6" w:rsidRPr="00813364">
          <w:rPr>
            <w:rStyle w:val="Hyperlink"/>
            <w:noProof/>
          </w:rPr>
          <w:t>Hjólfarapróf til mælingar á skriðeiginleikum malbiks</w:t>
        </w:r>
        <w:r w:rsidR="00D46BF6">
          <w:rPr>
            <w:noProof/>
            <w:webHidden/>
          </w:rPr>
          <w:tab/>
        </w:r>
        <w:r w:rsidR="00D46BF6">
          <w:rPr>
            <w:noProof/>
            <w:webHidden/>
          </w:rPr>
          <w:fldChar w:fldCharType="begin"/>
        </w:r>
        <w:r w:rsidR="00D46BF6">
          <w:rPr>
            <w:noProof/>
            <w:webHidden/>
          </w:rPr>
          <w:instrText xml:space="preserve"> PAGEREF _Toc52971439 \h </w:instrText>
        </w:r>
        <w:r w:rsidR="00D46BF6">
          <w:rPr>
            <w:noProof/>
            <w:webHidden/>
          </w:rPr>
        </w:r>
        <w:r w:rsidR="00D46BF6">
          <w:rPr>
            <w:noProof/>
            <w:webHidden/>
          </w:rPr>
          <w:fldChar w:fldCharType="separate"/>
        </w:r>
        <w:r w:rsidR="00804B61">
          <w:rPr>
            <w:noProof/>
            <w:webHidden/>
          </w:rPr>
          <w:t>12</w:t>
        </w:r>
        <w:r w:rsidR="00D46BF6">
          <w:rPr>
            <w:noProof/>
            <w:webHidden/>
          </w:rPr>
          <w:fldChar w:fldCharType="end"/>
        </w:r>
      </w:hyperlink>
    </w:p>
    <w:p w14:paraId="6A458B16" w14:textId="77777777" w:rsidR="00D46BF6" w:rsidRDefault="0086623E">
      <w:pPr>
        <w:pStyle w:val="TOC3"/>
        <w:tabs>
          <w:tab w:val="left" w:pos="1320"/>
          <w:tab w:val="right" w:leader="dot" w:pos="8296"/>
        </w:tabs>
        <w:rPr>
          <w:rFonts w:asciiTheme="minorHAnsi" w:eastAsiaTheme="minorEastAsia" w:hAnsiTheme="minorHAnsi" w:cstheme="minorBidi"/>
          <w:noProof/>
          <w:sz w:val="22"/>
          <w:szCs w:val="22"/>
          <w:lang w:val="en-GB" w:eastAsia="en-GB"/>
        </w:rPr>
      </w:pPr>
      <w:hyperlink w:anchor="_Toc52971440" w:history="1">
        <w:r w:rsidR="00D46BF6" w:rsidRPr="00813364">
          <w:rPr>
            <w:rStyle w:val="Hyperlink"/>
            <w:noProof/>
          </w:rPr>
          <w:t>3.2.2</w:t>
        </w:r>
        <w:r w:rsidR="00D46BF6">
          <w:rPr>
            <w:rFonts w:asciiTheme="minorHAnsi" w:eastAsiaTheme="minorEastAsia" w:hAnsiTheme="minorHAnsi" w:cstheme="minorBidi"/>
            <w:noProof/>
            <w:sz w:val="22"/>
            <w:szCs w:val="22"/>
            <w:lang w:val="en-GB" w:eastAsia="en-GB"/>
          </w:rPr>
          <w:tab/>
        </w:r>
        <w:r w:rsidR="00D46BF6" w:rsidRPr="00813364">
          <w:rPr>
            <w:rStyle w:val="Hyperlink"/>
            <w:noProof/>
          </w:rPr>
          <w:t>Slitþolspróf til mælingar á þoli malbiks gagnvart nagladekkjaáraun</w:t>
        </w:r>
        <w:r w:rsidR="00D46BF6">
          <w:rPr>
            <w:noProof/>
            <w:webHidden/>
          </w:rPr>
          <w:tab/>
        </w:r>
        <w:r w:rsidR="00D46BF6">
          <w:rPr>
            <w:noProof/>
            <w:webHidden/>
          </w:rPr>
          <w:fldChar w:fldCharType="begin"/>
        </w:r>
        <w:r w:rsidR="00D46BF6">
          <w:rPr>
            <w:noProof/>
            <w:webHidden/>
          </w:rPr>
          <w:instrText xml:space="preserve"> PAGEREF _Toc52971440 \h </w:instrText>
        </w:r>
        <w:r w:rsidR="00D46BF6">
          <w:rPr>
            <w:noProof/>
            <w:webHidden/>
          </w:rPr>
        </w:r>
        <w:r w:rsidR="00D46BF6">
          <w:rPr>
            <w:noProof/>
            <w:webHidden/>
          </w:rPr>
          <w:fldChar w:fldCharType="separate"/>
        </w:r>
        <w:r w:rsidR="00804B61">
          <w:rPr>
            <w:noProof/>
            <w:webHidden/>
          </w:rPr>
          <w:t>12</w:t>
        </w:r>
        <w:r w:rsidR="00D46BF6">
          <w:rPr>
            <w:noProof/>
            <w:webHidden/>
          </w:rPr>
          <w:fldChar w:fldCharType="end"/>
        </w:r>
      </w:hyperlink>
    </w:p>
    <w:p w14:paraId="08F5C5BA" w14:textId="77777777" w:rsidR="00D46BF6" w:rsidRDefault="0086623E">
      <w:pPr>
        <w:pStyle w:val="TOC3"/>
        <w:tabs>
          <w:tab w:val="left" w:pos="1320"/>
          <w:tab w:val="right" w:leader="dot" w:pos="8296"/>
        </w:tabs>
        <w:rPr>
          <w:rFonts w:asciiTheme="minorHAnsi" w:eastAsiaTheme="minorEastAsia" w:hAnsiTheme="minorHAnsi" w:cstheme="minorBidi"/>
          <w:noProof/>
          <w:sz w:val="22"/>
          <w:szCs w:val="22"/>
          <w:lang w:val="en-GB" w:eastAsia="en-GB"/>
        </w:rPr>
      </w:pPr>
      <w:hyperlink w:anchor="_Toc52971441" w:history="1">
        <w:r w:rsidR="00D46BF6" w:rsidRPr="00813364">
          <w:rPr>
            <w:rStyle w:val="Hyperlink"/>
            <w:noProof/>
          </w:rPr>
          <w:t>3.2.3</w:t>
        </w:r>
        <w:r w:rsidR="00D46BF6">
          <w:rPr>
            <w:rFonts w:asciiTheme="minorHAnsi" w:eastAsiaTheme="minorEastAsia" w:hAnsiTheme="minorHAnsi" w:cstheme="minorBidi"/>
            <w:noProof/>
            <w:sz w:val="22"/>
            <w:szCs w:val="22"/>
            <w:lang w:val="en-GB" w:eastAsia="en-GB"/>
          </w:rPr>
          <w:tab/>
        </w:r>
        <w:r w:rsidR="00D46BF6" w:rsidRPr="00813364">
          <w:rPr>
            <w:rStyle w:val="Hyperlink"/>
            <w:noProof/>
          </w:rPr>
          <w:t>Vatnsnæmipróf til mælingar á viðloðunareiginleikum malbiks</w:t>
        </w:r>
        <w:r w:rsidR="00D46BF6">
          <w:rPr>
            <w:noProof/>
            <w:webHidden/>
          </w:rPr>
          <w:tab/>
        </w:r>
        <w:r w:rsidR="00D46BF6">
          <w:rPr>
            <w:noProof/>
            <w:webHidden/>
          </w:rPr>
          <w:fldChar w:fldCharType="begin"/>
        </w:r>
        <w:r w:rsidR="00D46BF6">
          <w:rPr>
            <w:noProof/>
            <w:webHidden/>
          </w:rPr>
          <w:instrText xml:space="preserve"> PAGEREF _Toc52971441 \h </w:instrText>
        </w:r>
        <w:r w:rsidR="00D46BF6">
          <w:rPr>
            <w:noProof/>
            <w:webHidden/>
          </w:rPr>
        </w:r>
        <w:r w:rsidR="00D46BF6">
          <w:rPr>
            <w:noProof/>
            <w:webHidden/>
          </w:rPr>
          <w:fldChar w:fldCharType="separate"/>
        </w:r>
        <w:r w:rsidR="00804B61">
          <w:rPr>
            <w:noProof/>
            <w:webHidden/>
          </w:rPr>
          <w:t>12</w:t>
        </w:r>
        <w:r w:rsidR="00D46BF6">
          <w:rPr>
            <w:noProof/>
            <w:webHidden/>
          </w:rPr>
          <w:fldChar w:fldCharType="end"/>
        </w:r>
      </w:hyperlink>
    </w:p>
    <w:p w14:paraId="57AF3847" w14:textId="77777777" w:rsidR="00D46BF6" w:rsidRDefault="0086623E">
      <w:pPr>
        <w:pStyle w:val="TOC3"/>
        <w:tabs>
          <w:tab w:val="left" w:pos="1320"/>
          <w:tab w:val="right" w:leader="dot" w:pos="8296"/>
        </w:tabs>
        <w:rPr>
          <w:rFonts w:asciiTheme="minorHAnsi" w:eastAsiaTheme="minorEastAsia" w:hAnsiTheme="minorHAnsi" w:cstheme="minorBidi"/>
          <w:noProof/>
          <w:sz w:val="22"/>
          <w:szCs w:val="22"/>
          <w:lang w:val="en-GB" w:eastAsia="en-GB"/>
        </w:rPr>
      </w:pPr>
      <w:hyperlink w:anchor="_Toc52971442" w:history="1">
        <w:r w:rsidR="00D46BF6" w:rsidRPr="00813364">
          <w:rPr>
            <w:rStyle w:val="Hyperlink"/>
            <w:noProof/>
          </w:rPr>
          <w:t>3.2.4</w:t>
        </w:r>
        <w:r w:rsidR="00D46BF6">
          <w:rPr>
            <w:rFonts w:asciiTheme="minorHAnsi" w:eastAsiaTheme="minorEastAsia" w:hAnsiTheme="minorHAnsi" w:cstheme="minorBidi"/>
            <w:noProof/>
            <w:sz w:val="22"/>
            <w:szCs w:val="22"/>
            <w:lang w:val="en-GB" w:eastAsia="en-GB"/>
          </w:rPr>
          <w:tab/>
        </w:r>
        <w:r w:rsidR="00D46BF6" w:rsidRPr="00813364">
          <w:rPr>
            <w:rStyle w:val="Hyperlink"/>
            <w:noProof/>
          </w:rPr>
          <w:t>Framsetning merkingar á malbiksblöndu</w:t>
        </w:r>
        <w:r w:rsidR="00D46BF6">
          <w:rPr>
            <w:noProof/>
            <w:webHidden/>
          </w:rPr>
          <w:tab/>
        </w:r>
        <w:r w:rsidR="00D46BF6">
          <w:rPr>
            <w:noProof/>
            <w:webHidden/>
          </w:rPr>
          <w:fldChar w:fldCharType="begin"/>
        </w:r>
        <w:r w:rsidR="00D46BF6">
          <w:rPr>
            <w:noProof/>
            <w:webHidden/>
          </w:rPr>
          <w:instrText xml:space="preserve"> PAGEREF _Toc52971442 \h </w:instrText>
        </w:r>
        <w:r w:rsidR="00D46BF6">
          <w:rPr>
            <w:noProof/>
            <w:webHidden/>
          </w:rPr>
        </w:r>
        <w:r w:rsidR="00D46BF6">
          <w:rPr>
            <w:noProof/>
            <w:webHidden/>
          </w:rPr>
          <w:fldChar w:fldCharType="separate"/>
        </w:r>
        <w:r w:rsidR="00804B61">
          <w:rPr>
            <w:noProof/>
            <w:webHidden/>
          </w:rPr>
          <w:t>12</w:t>
        </w:r>
        <w:r w:rsidR="00D46BF6">
          <w:rPr>
            <w:noProof/>
            <w:webHidden/>
          </w:rPr>
          <w:fldChar w:fldCharType="end"/>
        </w:r>
      </w:hyperlink>
    </w:p>
    <w:p w14:paraId="780ECF1C" w14:textId="77777777" w:rsidR="00D46BF6" w:rsidRDefault="0086623E">
      <w:pPr>
        <w:pStyle w:val="TOC3"/>
        <w:tabs>
          <w:tab w:val="left" w:pos="1320"/>
          <w:tab w:val="right" w:leader="dot" w:pos="8296"/>
        </w:tabs>
        <w:rPr>
          <w:rFonts w:asciiTheme="minorHAnsi" w:eastAsiaTheme="minorEastAsia" w:hAnsiTheme="minorHAnsi" w:cstheme="minorBidi"/>
          <w:noProof/>
          <w:sz w:val="22"/>
          <w:szCs w:val="22"/>
          <w:lang w:val="en-GB" w:eastAsia="en-GB"/>
        </w:rPr>
      </w:pPr>
      <w:hyperlink w:anchor="_Toc52971443" w:history="1">
        <w:r w:rsidR="00D46BF6" w:rsidRPr="00813364">
          <w:rPr>
            <w:rStyle w:val="Hyperlink"/>
            <w:noProof/>
          </w:rPr>
          <w:t>3.2.5</w:t>
        </w:r>
        <w:r w:rsidR="00D46BF6">
          <w:rPr>
            <w:rFonts w:asciiTheme="minorHAnsi" w:eastAsiaTheme="minorEastAsia" w:hAnsiTheme="minorHAnsi" w:cstheme="minorBidi"/>
            <w:noProof/>
            <w:sz w:val="22"/>
            <w:szCs w:val="22"/>
            <w:lang w:val="en-GB" w:eastAsia="en-GB"/>
          </w:rPr>
          <w:tab/>
        </w:r>
        <w:r w:rsidR="00D46BF6" w:rsidRPr="00813364">
          <w:rPr>
            <w:rStyle w:val="Hyperlink"/>
            <w:noProof/>
          </w:rPr>
          <w:t>Önnur ákvæði</w:t>
        </w:r>
        <w:r w:rsidR="00D46BF6">
          <w:rPr>
            <w:noProof/>
            <w:webHidden/>
          </w:rPr>
          <w:tab/>
        </w:r>
        <w:r w:rsidR="00D46BF6">
          <w:rPr>
            <w:noProof/>
            <w:webHidden/>
          </w:rPr>
          <w:fldChar w:fldCharType="begin"/>
        </w:r>
        <w:r w:rsidR="00D46BF6">
          <w:rPr>
            <w:noProof/>
            <w:webHidden/>
          </w:rPr>
          <w:instrText xml:space="preserve"> PAGEREF _Toc52971443 \h </w:instrText>
        </w:r>
        <w:r w:rsidR="00D46BF6">
          <w:rPr>
            <w:noProof/>
            <w:webHidden/>
          </w:rPr>
        </w:r>
        <w:r w:rsidR="00D46BF6">
          <w:rPr>
            <w:noProof/>
            <w:webHidden/>
          </w:rPr>
          <w:fldChar w:fldCharType="separate"/>
        </w:r>
        <w:r w:rsidR="00804B61">
          <w:rPr>
            <w:noProof/>
            <w:webHidden/>
          </w:rPr>
          <w:t>13</w:t>
        </w:r>
        <w:r w:rsidR="00D46BF6">
          <w:rPr>
            <w:noProof/>
            <w:webHidden/>
          </w:rPr>
          <w:fldChar w:fldCharType="end"/>
        </w:r>
      </w:hyperlink>
    </w:p>
    <w:p w14:paraId="6B2C64C6" w14:textId="77777777" w:rsidR="00D46BF6" w:rsidRDefault="0086623E">
      <w:pPr>
        <w:pStyle w:val="TOC2"/>
        <w:tabs>
          <w:tab w:val="left" w:pos="660"/>
        </w:tabs>
        <w:rPr>
          <w:rFonts w:asciiTheme="minorHAnsi" w:eastAsiaTheme="minorEastAsia" w:hAnsiTheme="minorHAnsi" w:cstheme="minorBidi"/>
          <w:sz w:val="22"/>
          <w:szCs w:val="22"/>
          <w:lang w:val="en-GB" w:eastAsia="en-GB"/>
        </w:rPr>
      </w:pPr>
      <w:hyperlink w:anchor="_Toc52971444" w:history="1">
        <w:r w:rsidR="00D46BF6" w:rsidRPr="00813364">
          <w:rPr>
            <w:rStyle w:val="Hyperlink"/>
          </w:rPr>
          <w:t>3.3</w:t>
        </w:r>
        <w:r w:rsidR="00D46BF6">
          <w:rPr>
            <w:rFonts w:asciiTheme="minorHAnsi" w:eastAsiaTheme="minorEastAsia" w:hAnsiTheme="minorHAnsi" w:cstheme="minorBidi"/>
            <w:sz w:val="22"/>
            <w:szCs w:val="22"/>
            <w:lang w:val="en-GB" w:eastAsia="en-GB"/>
          </w:rPr>
          <w:tab/>
        </w:r>
        <w:r w:rsidR="00D46BF6" w:rsidRPr="00813364">
          <w:rPr>
            <w:rStyle w:val="Hyperlink"/>
          </w:rPr>
          <w:t>Eftirlit með framleiðslu malbiks</w:t>
        </w:r>
        <w:r w:rsidR="00D46BF6">
          <w:rPr>
            <w:webHidden/>
          </w:rPr>
          <w:tab/>
        </w:r>
        <w:r w:rsidR="00D46BF6">
          <w:rPr>
            <w:webHidden/>
          </w:rPr>
          <w:fldChar w:fldCharType="begin"/>
        </w:r>
        <w:r w:rsidR="00D46BF6">
          <w:rPr>
            <w:webHidden/>
          </w:rPr>
          <w:instrText xml:space="preserve"> PAGEREF _Toc52971444 \h </w:instrText>
        </w:r>
        <w:r w:rsidR="00D46BF6">
          <w:rPr>
            <w:webHidden/>
          </w:rPr>
        </w:r>
        <w:r w:rsidR="00D46BF6">
          <w:rPr>
            <w:webHidden/>
          </w:rPr>
          <w:fldChar w:fldCharType="separate"/>
        </w:r>
        <w:r w:rsidR="00804B61">
          <w:rPr>
            <w:webHidden/>
          </w:rPr>
          <w:t>13</w:t>
        </w:r>
        <w:r w:rsidR="00D46BF6">
          <w:rPr>
            <w:webHidden/>
          </w:rPr>
          <w:fldChar w:fldCharType="end"/>
        </w:r>
      </w:hyperlink>
    </w:p>
    <w:p w14:paraId="2122E6A9" w14:textId="77777777" w:rsidR="00D46BF6" w:rsidRDefault="0086623E">
      <w:pPr>
        <w:pStyle w:val="TOC1"/>
        <w:tabs>
          <w:tab w:val="left" w:pos="480"/>
          <w:tab w:val="right" w:leader="dot" w:pos="8296"/>
        </w:tabs>
        <w:rPr>
          <w:rFonts w:asciiTheme="minorHAnsi" w:eastAsiaTheme="minorEastAsia" w:hAnsiTheme="minorHAnsi" w:cstheme="minorBidi"/>
          <w:noProof/>
          <w:sz w:val="22"/>
          <w:szCs w:val="22"/>
          <w:lang w:val="en-GB" w:eastAsia="en-GB"/>
        </w:rPr>
      </w:pPr>
      <w:hyperlink w:anchor="_Toc52971445" w:history="1">
        <w:r w:rsidR="00D46BF6" w:rsidRPr="00813364">
          <w:rPr>
            <w:rStyle w:val="Hyperlink"/>
            <w:noProof/>
          </w:rPr>
          <w:t>4</w:t>
        </w:r>
        <w:r w:rsidR="00D46BF6">
          <w:rPr>
            <w:rFonts w:asciiTheme="minorHAnsi" w:eastAsiaTheme="minorEastAsia" w:hAnsiTheme="minorHAnsi" w:cstheme="minorBidi"/>
            <w:noProof/>
            <w:sz w:val="22"/>
            <w:szCs w:val="22"/>
            <w:lang w:val="en-GB" w:eastAsia="en-GB"/>
          </w:rPr>
          <w:tab/>
        </w:r>
        <w:r w:rsidR="00D46BF6" w:rsidRPr="00813364">
          <w:rPr>
            <w:rStyle w:val="Hyperlink"/>
            <w:noProof/>
          </w:rPr>
          <w:t>Almennar frávikskröfur</w:t>
        </w:r>
        <w:r w:rsidR="00D46BF6">
          <w:rPr>
            <w:noProof/>
            <w:webHidden/>
          </w:rPr>
          <w:tab/>
        </w:r>
        <w:r w:rsidR="00D46BF6">
          <w:rPr>
            <w:noProof/>
            <w:webHidden/>
          </w:rPr>
          <w:fldChar w:fldCharType="begin"/>
        </w:r>
        <w:r w:rsidR="00D46BF6">
          <w:rPr>
            <w:noProof/>
            <w:webHidden/>
          </w:rPr>
          <w:instrText xml:space="preserve"> PAGEREF _Toc52971445 \h </w:instrText>
        </w:r>
        <w:r w:rsidR="00D46BF6">
          <w:rPr>
            <w:noProof/>
            <w:webHidden/>
          </w:rPr>
        </w:r>
        <w:r w:rsidR="00D46BF6">
          <w:rPr>
            <w:noProof/>
            <w:webHidden/>
          </w:rPr>
          <w:fldChar w:fldCharType="separate"/>
        </w:r>
        <w:r w:rsidR="00804B61">
          <w:rPr>
            <w:noProof/>
            <w:webHidden/>
          </w:rPr>
          <w:t>14</w:t>
        </w:r>
        <w:r w:rsidR="00D46BF6">
          <w:rPr>
            <w:noProof/>
            <w:webHidden/>
          </w:rPr>
          <w:fldChar w:fldCharType="end"/>
        </w:r>
      </w:hyperlink>
    </w:p>
    <w:p w14:paraId="52F79611" w14:textId="77777777" w:rsidR="00D46BF6" w:rsidRDefault="0086623E">
      <w:pPr>
        <w:pStyle w:val="TOC2"/>
        <w:tabs>
          <w:tab w:val="left" w:pos="660"/>
        </w:tabs>
        <w:rPr>
          <w:rFonts w:asciiTheme="minorHAnsi" w:eastAsiaTheme="minorEastAsia" w:hAnsiTheme="minorHAnsi" w:cstheme="minorBidi"/>
          <w:sz w:val="22"/>
          <w:szCs w:val="22"/>
          <w:lang w:val="en-GB" w:eastAsia="en-GB"/>
        </w:rPr>
      </w:pPr>
      <w:hyperlink w:anchor="_Toc52971446" w:history="1">
        <w:r w:rsidR="00D46BF6" w:rsidRPr="00813364">
          <w:rPr>
            <w:rStyle w:val="Hyperlink"/>
          </w:rPr>
          <w:t>4.1</w:t>
        </w:r>
        <w:r w:rsidR="00D46BF6">
          <w:rPr>
            <w:rFonts w:asciiTheme="minorHAnsi" w:eastAsiaTheme="minorEastAsia" w:hAnsiTheme="minorHAnsi" w:cstheme="minorBidi"/>
            <w:sz w:val="22"/>
            <w:szCs w:val="22"/>
            <w:lang w:val="en-GB" w:eastAsia="en-GB"/>
          </w:rPr>
          <w:tab/>
        </w:r>
        <w:r w:rsidR="00D46BF6" w:rsidRPr="00813364">
          <w:rPr>
            <w:rStyle w:val="Hyperlink"/>
          </w:rPr>
          <w:t>Frávik frá steinefnakröfum</w:t>
        </w:r>
        <w:r w:rsidR="00D46BF6">
          <w:rPr>
            <w:webHidden/>
          </w:rPr>
          <w:tab/>
        </w:r>
        <w:r w:rsidR="00D46BF6">
          <w:rPr>
            <w:webHidden/>
          </w:rPr>
          <w:fldChar w:fldCharType="begin"/>
        </w:r>
        <w:r w:rsidR="00D46BF6">
          <w:rPr>
            <w:webHidden/>
          </w:rPr>
          <w:instrText xml:space="preserve"> PAGEREF _Toc52971446 \h </w:instrText>
        </w:r>
        <w:r w:rsidR="00D46BF6">
          <w:rPr>
            <w:webHidden/>
          </w:rPr>
        </w:r>
        <w:r w:rsidR="00D46BF6">
          <w:rPr>
            <w:webHidden/>
          </w:rPr>
          <w:fldChar w:fldCharType="separate"/>
        </w:r>
        <w:r w:rsidR="00804B61">
          <w:rPr>
            <w:webHidden/>
          </w:rPr>
          <w:t>14</w:t>
        </w:r>
        <w:r w:rsidR="00D46BF6">
          <w:rPr>
            <w:webHidden/>
          </w:rPr>
          <w:fldChar w:fldCharType="end"/>
        </w:r>
      </w:hyperlink>
    </w:p>
    <w:p w14:paraId="7F44FE9C" w14:textId="77777777" w:rsidR="00D46BF6" w:rsidRDefault="0086623E">
      <w:pPr>
        <w:pStyle w:val="TOC2"/>
        <w:tabs>
          <w:tab w:val="left" w:pos="660"/>
        </w:tabs>
        <w:rPr>
          <w:rFonts w:asciiTheme="minorHAnsi" w:eastAsiaTheme="minorEastAsia" w:hAnsiTheme="minorHAnsi" w:cstheme="minorBidi"/>
          <w:sz w:val="22"/>
          <w:szCs w:val="22"/>
          <w:lang w:val="en-GB" w:eastAsia="en-GB"/>
        </w:rPr>
      </w:pPr>
      <w:hyperlink w:anchor="_Toc52971447" w:history="1">
        <w:r w:rsidR="00D46BF6" w:rsidRPr="00813364">
          <w:rPr>
            <w:rStyle w:val="Hyperlink"/>
          </w:rPr>
          <w:t>4.2</w:t>
        </w:r>
        <w:r w:rsidR="00D46BF6">
          <w:rPr>
            <w:rFonts w:asciiTheme="minorHAnsi" w:eastAsiaTheme="minorEastAsia" w:hAnsiTheme="minorHAnsi" w:cstheme="minorBidi"/>
            <w:sz w:val="22"/>
            <w:szCs w:val="22"/>
            <w:lang w:val="en-GB" w:eastAsia="en-GB"/>
          </w:rPr>
          <w:tab/>
        </w:r>
        <w:r w:rsidR="00D46BF6" w:rsidRPr="00813364">
          <w:rPr>
            <w:rStyle w:val="Hyperlink"/>
          </w:rPr>
          <w:t>Vikmörk kornadreifingar</w:t>
        </w:r>
        <w:r w:rsidR="00D46BF6">
          <w:rPr>
            <w:webHidden/>
          </w:rPr>
          <w:tab/>
        </w:r>
        <w:r w:rsidR="00D46BF6">
          <w:rPr>
            <w:webHidden/>
          </w:rPr>
          <w:fldChar w:fldCharType="begin"/>
        </w:r>
        <w:r w:rsidR="00D46BF6">
          <w:rPr>
            <w:webHidden/>
          </w:rPr>
          <w:instrText xml:space="preserve"> PAGEREF _Toc52971447 \h </w:instrText>
        </w:r>
        <w:r w:rsidR="00D46BF6">
          <w:rPr>
            <w:webHidden/>
          </w:rPr>
        </w:r>
        <w:r w:rsidR="00D46BF6">
          <w:rPr>
            <w:webHidden/>
          </w:rPr>
          <w:fldChar w:fldCharType="separate"/>
        </w:r>
        <w:r w:rsidR="00804B61">
          <w:rPr>
            <w:webHidden/>
          </w:rPr>
          <w:t>14</w:t>
        </w:r>
        <w:r w:rsidR="00D46BF6">
          <w:rPr>
            <w:webHidden/>
          </w:rPr>
          <w:fldChar w:fldCharType="end"/>
        </w:r>
      </w:hyperlink>
    </w:p>
    <w:p w14:paraId="14E8B138" w14:textId="77777777" w:rsidR="00D46BF6" w:rsidRDefault="0086623E">
      <w:pPr>
        <w:pStyle w:val="TOC3"/>
        <w:tabs>
          <w:tab w:val="left" w:pos="1320"/>
          <w:tab w:val="right" w:leader="dot" w:pos="8296"/>
        </w:tabs>
        <w:rPr>
          <w:rFonts w:asciiTheme="minorHAnsi" w:eastAsiaTheme="minorEastAsia" w:hAnsiTheme="minorHAnsi" w:cstheme="minorBidi"/>
          <w:noProof/>
          <w:sz w:val="22"/>
          <w:szCs w:val="22"/>
          <w:lang w:val="en-GB" w:eastAsia="en-GB"/>
        </w:rPr>
      </w:pPr>
      <w:hyperlink w:anchor="_Toc52971448" w:history="1">
        <w:r w:rsidR="00D46BF6" w:rsidRPr="00813364">
          <w:rPr>
            <w:rStyle w:val="Hyperlink"/>
            <w:noProof/>
          </w:rPr>
          <w:t>4.2.1</w:t>
        </w:r>
        <w:r w:rsidR="00D46BF6">
          <w:rPr>
            <w:rFonts w:asciiTheme="minorHAnsi" w:eastAsiaTheme="minorEastAsia" w:hAnsiTheme="minorHAnsi" w:cstheme="minorBidi"/>
            <w:noProof/>
            <w:sz w:val="22"/>
            <w:szCs w:val="22"/>
            <w:lang w:val="en-GB" w:eastAsia="en-GB"/>
          </w:rPr>
          <w:tab/>
        </w:r>
        <w:r w:rsidR="00D46BF6" w:rsidRPr="00813364">
          <w:rPr>
            <w:rStyle w:val="Hyperlink"/>
            <w:noProof/>
          </w:rPr>
          <w:t>Almennt</w:t>
        </w:r>
        <w:r w:rsidR="00D46BF6">
          <w:rPr>
            <w:noProof/>
            <w:webHidden/>
          </w:rPr>
          <w:tab/>
        </w:r>
        <w:r w:rsidR="00D46BF6">
          <w:rPr>
            <w:noProof/>
            <w:webHidden/>
          </w:rPr>
          <w:fldChar w:fldCharType="begin"/>
        </w:r>
        <w:r w:rsidR="00D46BF6">
          <w:rPr>
            <w:noProof/>
            <w:webHidden/>
          </w:rPr>
          <w:instrText xml:space="preserve"> PAGEREF _Toc52971448 \h </w:instrText>
        </w:r>
        <w:r w:rsidR="00D46BF6">
          <w:rPr>
            <w:noProof/>
            <w:webHidden/>
          </w:rPr>
        </w:r>
        <w:r w:rsidR="00D46BF6">
          <w:rPr>
            <w:noProof/>
            <w:webHidden/>
          </w:rPr>
          <w:fldChar w:fldCharType="separate"/>
        </w:r>
        <w:r w:rsidR="00804B61">
          <w:rPr>
            <w:noProof/>
            <w:webHidden/>
          </w:rPr>
          <w:t>14</w:t>
        </w:r>
        <w:r w:rsidR="00D46BF6">
          <w:rPr>
            <w:noProof/>
            <w:webHidden/>
          </w:rPr>
          <w:fldChar w:fldCharType="end"/>
        </w:r>
      </w:hyperlink>
    </w:p>
    <w:p w14:paraId="3DE35F46" w14:textId="77777777" w:rsidR="00D46BF6" w:rsidRDefault="0086623E">
      <w:pPr>
        <w:pStyle w:val="TOC3"/>
        <w:tabs>
          <w:tab w:val="left" w:pos="1320"/>
          <w:tab w:val="right" w:leader="dot" w:pos="8296"/>
        </w:tabs>
        <w:rPr>
          <w:rFonts w:asciiTheme="minorHAnsi" w:eastAsiaTheme="minorEastAsia" w:hAnsiTheme="minorHAnsi" w:cstheme="minorBidi"/>
          <w:noProof/>
          <w:sz w:val="22"/>
          <w:szCs w:val="22"/>
          <w:lang w:val="en-GB" w:eastAsia="en-GB"/>
        </w:rPr>
      </w:pPr>
      <w:hyperlink w:anchor="_Toc52971449" w:history="1">
        <w:r w:rsidR="00D46BF6" w:rsidRPr="00813364">
          <w:rPr>
            <w:rStyle w:val="Hyperlink"/>
            <w:noProof/>
          </w:rPr>
          <w:t>4.2.2</w:t>
        </w:r>
        <w:r w:rsidR="00D46BF6">
          <w:rPr>
            <w:rFonts w:asciiTheme="minorHAnsi" w:eastAsiaTheme="minorEastAsia" w:hAnsiTheme="minorHAnsi" w:cstheme="minorBidi"/>
            <w:noProof/>
            <w:sz w:val="22"/>
            <w:szCs w:val="22"/>
            <w:lang w:val="en-GB" w:eastAsia="en-GB"/>
          </w:rPr>
          <w:tab/>
        </w:r>
        <w:r w:rsidR="00D46BF6" w:rsidRPr="00813364">
          <w:rPr>
            <w:rStyle w:val="Hyperlink"/>
            <w:noProof/>
          </w:rPr>
          <w:t>Þolvik frá hönnuðum sáldurferli í malbiki</w:t>
        </w:r>
        <w:r w:rsidR="00D46BF6">
          <w:rPr>
            <w:noProof/>
            <w:webHidden/>
          </w:rPr>
          <w:tab/>
        </w:r>
        <w:r w:rsidR="00D46BF6">
          <w:rPr>
            <w:noProof/>
            <w:webHidden/>
          </w:rPr>
          <w:fldChar w:fldCharType="begin"/>
        </w:r>
        <w:r w:rsidR="00D46BF6">
          <w:rPr>
            <w:noProof/>
            <w:webHidden/>
          </w:rPr>
          <w:instrText xml:space="preserve"> PAGEREF _Toc52971449 \h </w:instrText>
        </w:r>
        <w:r w:rsidR="00D46BF6">
          <w:rPr>
            <w:noProof/>
            <w:webHidden/>
          </w:rPr>
        </w:r>
        <w:r w:rsidR="00D46BF6">
          <w:rPr>
            <w:noProof/>
            <w:webHidden/>
          </w:rPr>
          <w:fldChar w:fldCharType="separate"/>
        </w:r>
        <w:r w:rsidR="00804B61">
          <w:rPr>
            <w:noProof/>
            <w:webHidden/>
          </w:rPr>
          <w:t>14</w:t>
        </w:r>
        <w:r w:rsidR="00D46BF6">
          <w:rPr>
            <w:noProof/>
            <w:webHidden/>
          </w:rPr>
          <w:fldChar w:fldCharType="end"/>
        </w:r>
      </w:hyperlink>
    </w:p>
    <w:p w14:paraId="56CAE788" w14:textId="77777777" w:rsidR="00D46BF6" w:rsidRDefault="0086623E">
      <w:pPr>
        <w:pStyle w:val="TOC3"/>
        <w:tabs>
          <w:tab w:val="left" w:pos="1320"/>
          <w:tab w:val="right" w:leader="dot" w:pos="8296"/>
        </w:tabs>
        <w:rPr>
          <w:rFonts w:asciiTheme="minorHAnsi" w:eastAsiaTheme="minorEastAsia" w:hAnsiTheme="minorHAnsi" w:cstheme="minorBidi"/>
          <w:noProof/>
          <w:sz w:val="22"/>
          <w:szCs w:val="22"/>
          <w:lang w:val="en-GB" w:eastAsia="en-GB"/>
        </w:rPr>
      </w:pPr>
      <w:hyperlink w:anchor="_Toc52971450" w:history="1">
        <w:r w:rsidR="00D46BF6" w:rsidRPr="00813364">
          <w:rPr>
            <w:rStyle w:val="Hyperlink"/>
            <w:noProof/>
          </w:rPr>
          <w:t>4.2.3</w:t>
        </w:r>
        <w:r w:rsidR="00D46BF6">
          <w:rPr>
            <w:rFonts w:asciiTheme="minorHAnsi" w:eastAsiaTheme="minorEastAsia" w:hAnsiTheme="minorHAnsi" w:cstheme="minorBidi"/>
            <w:noProof/>
            <w:sz w:val="22"/>
            <w:szCs w:val="22"/>
            <w:lang w:val="en-GB" w:eastAsia="en-GB"/>
          </w:rPr>
          <w:tab/>
        </w:r>
        <w:r w:rsidR="00D46BF6" w:rsidRPr="00813364">
          <w:rPr>
            <w:rStyle w:val="Hyperlink"/>
            <w:noProof/>
          </w:rPr>
          <w:t>Stærðarflokkar og magn undir- og yfirstærða</w:t>
        </w:r>
        <w:r w:rsidR="00D46BF6">
          <w:rPr>
            <w:noProof/>
            <w:webHidden/>
          </w:rPr>
          <w:tab/>
        </w:r>
        <w:r w:rsidR="00D46BF6">
          <w:rPr>
            <w:noProof/>
            <w:webHidden/>
          </w:rPr>
          <w:fldChar w:fldCharType="begin"/>
        </w:r>
        <w:r w:rsidR="00D46BF6">
          <w:rPr>
            <w:noProof/>
            <w:webHidden/>
          </w:rPr>
          <w:instrText xml:space="preserve"> PAGEREF _Toc52971450 \h </w:instrText>
        </w:r>
        <w:r w:rsidR="00D46BF6">
          <w:rPr>
            <w:noProof/>
            <w:webHidden/>
          </w:rPr>
        </w:r>
        <w:r w:rsidR="00D46BF6">
          <w:rPr>
            <w:noProof/>
            <w:webHidden/>
          </w:rPr>
          <w:fldChar w:fldCharType="separate"/>
        </w:r>
        <w:r w:rsidR="00804B61">
          <w:rPr>
            <w:noProof/>
            <w:webHidden/>
          </w:rPr>
          <w:t>16</w:t>
        </w:r>
        <w:r w:rsidR="00D46BF6">
          <w:rPr>
            <w:noProof/>
            <w:webHidden/>
          </w:rPr>
          <w:fldChar w:fldCharType="end"/>
        </w:r>
      </w:hyperlink>
    </w:p>
    <w:p w14:paraId="656BFEAE" w14:textId="5BE303AC" w:rsidR="00F66DBD" w:rsidRDefault="006304D6">
      <w:r>
        <w:fldChar w:fldCharType="end"/>
      </w:r>
    </w:p>
    <w:p w14:paraId="7B1646AE" w14:textId="77777777" w:rsidR="00F66DBD" w:rsidRPr="00F66DBD" w:rsidRDefault="00F66DBD" w:rsidP="00F66DBD"/>
    <w:p w14:paraId="20A26983" w14:textId="77777777" w:rsidR="004E4DC1" w:rsidRDefault="004E4DC1">
      <w:pPr>
        <w:rPr>
          <w:rFonts w:ascii="Arial" w:hAnsi="Arial" w:cs="Arial"/>
          <w:b/>
          <w:bCs/>
          <w:kern w:val="32"/>
          <w:sz w:val="32"/>
          <w:szCs w:val="32"/>
        </w:rPr>
      </w:pPr>
      <w:r>
        <w:br w:type="page"/>
      </w:r>
    </w:p>
    <w:p w14:paraId="11B69A70" w14:textId="77777777" w:rsidR="00EA023E" w:rsidRPr="00220C65" w:rsidRDefault="009C5758" w:rsidP="009C5758">
      <w:pPr>
        <w:pStyle w:val="Heading1"/>
      </w:pPr>
      <w:bookmarkStart w:id="15" w:name="_Toc52971431"/>
      <w:r w:rsidRPr="00220C65">
        <w:lastRenderedPageBreak/>
        <w:t>Inngangur</w:t>
      </w:r>
      <w:bookmarkEnd w:id="15"/>
    </w:p>
    <w:p w14:paraId="254F77FB" w14:textId="77777777" w:rsidR="009C5758" w:rsidRPr="00220C65" w:rsidRDefault="009C5758" w:rsidP="009C5758">
      <w:pPr>
        <w:rPr>
          <w:rFonts w:ascii="Arial" w:hAnsi="Arial" w:cs="Arial"/>
        </w:rPr>
      </w:pPr>
    </w:p>
    <w:p w14:paraId="36E53D87" w14:textId="33B4AB7C" w:rsidR="007317FC" w:rsidRDefault="00A84D2A">
      <w:pPr>
        <w:ind w:firstLine="284"/>
        <w:jc w:val="both"/>
      </w:pPr>
      <w:r w:rsidRPr="004D67A0">
        <w:t xml:space="preserve">Í Evrópustöðlum um framleiðslu steinefna til ýmissa nota svo og um framleiðslu malbiks eru sett fram ýmis ákvæði um </w:t>
      </w:r>
      <w:r w:rsidR="00213A4B">
        <w:t>gerðar</w:t>
      </w:r>
      <w:r w:rsidRPr="004D67A0">
        <w:t>prófanir og framleiðslueftirlit. Þeir framleiðendur sem selja sína framleiðslu á m</w:t>
      </w:r>
      <w:r w:rsidR="00373A02">
        <w:t xml:space="preserve">arkað þurfa að uppfylla ákvæði </w:t>
      </w:r>
      <w:r w:rsidRPr="004D67A0">
        <w:t>staðla</w:t>
      </w:r>
      <w:r w:rsidR="00A42AE9">
        <w:t>nna</w:t>
      </w:r>
      <w:r w:rsidRPr="004D67A0">
        <w:t xml:space="preserve">. Í þessum viðauka setur Vegagerðin fram í töfluformi hvaða niðurstöður prófana skuli liggja fyrir, bæði </w:t>
      </w:r>
      <w:r w:rsidR="00213A4B">
        <w:t>gerðar</w:t>
      </w:r>
      <w:r w:rsidRPr="004D67A0">
        <w:t xml:space="preserve">prófanir og við framleiðslueftirlit, vegna </w:t>
      </w:r>
      <w:r w:rsidR="00213A4B">
        <w:t>framleiðslu</w:t>
      </w:r>
      <w:r w:rsidR="00213A4B" w:rsidRPr="004D67A0">
        <w:t xml:space="preserve"> </w:t>
      </w:r>
      <w:r w:rsidRPr="004D67A0">
        <w:t>á steinefnum og malbik</w:t>
      </w:r>
      <w:r w:rsidR="00CD05DF">
        <w:t>i</w:t>
      </w:r>
      <w:r w:rsidR="00213A4B">
        <w:t xml:space="preserve"> á markað</w:t>
      </w:r>
      <w:r w:rsidRPr="004D67A0">
        <w:t xml:space="preserve">. Settar eru fram töflur um tíðni prófana sem brjóta ekki í bága við viðkomandi Evrópustaðla. </w:t>
      </w:r>
      <w:r w:rsidR="00043C96">
        <w:t xml:space="preserve">Íslenskir fylgistaðlar vegna framleiðslu malbiks, </w:t>
      </w:r>
      <w:r w:rsidR="00BE0DCA">
        <w:t>ÍST 75</w:t>
      </w:r>
      <w:r w:rsidR="00043C96">
        <w:t xml:space="preserve"> og framleiðslu steinefna, ÍST 76</w:t>
      </w:r>
      <w:r w:rsidR="001B272A">
        <w:t>,</w:t>
      </w:r>
      <w:r w:rsidR="00043C96">
        <w:t xml:space="preserve"> voru gefnir út í des</w:t>
      </w:r>
      <w:r w:rsidR="002B7878">
        <w:t>e</w:t>
      </w:r>
      <w:r w:rsidR="00043C96">
        <w:t xml:space="preserve">mber 2013 í samráði við hagsmunaaðila. </w:t>
      </w:r>
      <w:r w:rsidR="006950A2" w:rsidRPr="004D67A0">
        <w:t xml:space="preserve">Líta má á þennan viðauka sem </w:t>
      </w:r>
      <w:r w:rsidR="00BE0DCA">
        <w:t>leiðbeiningar</w:t>
      </w:r>
      <w:r w:rsidR="00213A4B">
        <w:t xml:space="preserve"> við</w:t>
      </w:r>
      <w:r w:rsidR="00043C96">
        <w:t xml:space="preserve"> íslensku fylgistaðlana </w:t>
      </w:r>
      <w:r w:rsidR="002B7878">
        <w:t>og</w:t>
      </w:r>
      <w:r w:rsidR="007317FC">
        <w:t xml:space="preserve"> eru </w:t>
      </w:r>
      <w:r w:rsidR="002B7878">
        <w:t xml:space="preserve">auk þess </w:t>
      </w:r>
      <w:r w:rsidR="007317FC">
        <w:t>settar fram ýmsar reglur um frávikskröfur vegna framleiðslu steinefna</w:t>
      </w:r>
      <w:r w:rsidR="00FB7D6A">
        <w:t xml:space="preserve"> sem Vegagerðin </w:t>
      </w:r>
      <w:r w:rsidR="00C05BC4">
        <w:t>setur fram</w:t>
      </w:r>
      <w:r w:rsidR="007317FC">
        <w:t>.</w:t>
      </w:r>
    </w:p>
    <w:p w14:paraId="2D502678" w14:textId="466CEA1F" w:rsidR="002B7878" w:rsidRPr="004D67A0" w:rsidRDefault="002B7878">
      <w:pPr>
        <w:ind w:firstLine="284"/>
        <w:jc w:val="both"/>
      </w:pPr>
      <w:r>
        <w:t xml:space="preserve">Vegna tafa </w:t>
      </w:r>
      <w:r w:rsidR="00A029AB">
        <w:t xml:space="preserve">við útgáfu framleiðslustaðla fyrir steinefni </w:t>
      </w:r>
      <w:r>
        <w:t>sem lýst var hér að framan</w:t>
      </w:r>
      <w:r w:rsidR="00A029AB">
        <w:t>,</w:t>
      </w:r>
      <w:r>
        <w:t xml:space="preserve"> er ekki enn tímabært að endurskoða </w:t>
      </w:r>
      <w:r w:rsidR="00313B00">
        <w:t xml:space="preserve">fylgistaðal </w:t>
      </w:r>
      <w:r>
        <w:t>ÍST 76.</w:t>
      </w:r>
      <w:r w:rsidR="00313B00">
        <w:t xml:space="preserve"> Í Efnisgæðaritinu og þessum viðauka er hinsvegar stuðst við endurskoðaðar útgáfur staðlanna þó að þeir hafi ekki fengist gefnir út formlega vegna þess ágreinings sem nefndur var hér að framan. Fylgistaðall fyrir malbik ÍST 75 verður endurskoðaður </w:t>
      </w:r>
      <w:r w:rsidR="0005041E">
        <w:t xml:space="preserve">þegar nýir </w:t>
      </w:r>
      <w:r w:rsidR="00313B00">
        <w:t>framleiðslustaðla</w:t>
      </w:r>
      <w:r w:rsidR="0005041E">
        <w:t>r</w:t>
      </w:r>
      <w:r w:rsidR="00313B00">
        <w:t xml:space="preserve"> </w:t>
      </w:r>
      <w:r w:rsidR="0005041E">
        <w:t xml:space="preserve">hafa verið </w:t>
      </w:r>
      <w:r w:rsidR="00313B00">
        <w:t>gefnir út</w:t>
      </w:r>
      <w:r w:rsidR="0005041E">
        <w:t>.</w:t>
      </w:r>
      <w:r w:rsidR="00313B00">
        <w:t xml:space="preserve"> Enn er ágreiningur um báða þessa staðlapakka eins og raunar fjölmarga aðra staðla sem varða byggingariðnaðinn</w:t>
      </w:r>
      <w:r w:rsidR="00B35C72">
        <w:t xml:space="preserve">, sem hafa ekki verið </w:t>
      </w:r>
      <w:r w:rsidR="00A029AB">
        <w:t>auglýstir</w:t>
      </w:r>
      <w:r w:rsidR="00B35C72">
        <w:t xml:space="preserve"> opinberlega hjá evrópuráðinu (Official Journal</w:t>
      </w:r>
      <w:r w:rsidR="00A029AB">
        <w:t xml:space="preserve"> of the European Union</w:t>
      </w:r>
      <w:r w:rsidR="00B35C72">
        <w:t xml:space="preserve"> (OJEU)).</w:t>
      </w:r>
      <w:r w:rsidR="00313B00">
        <w:t xml:space="preserve">  </w:t>
      </w:r>
    </w:p>
    <w:p w14:paraId="13763CFC" w14:textId="6E1D1A1B" w:rsidR="009C5758" w:rsidRPr="004D67A0" w:rsidRDefault="009C5758" w:rsidP="00EA023E"/>
    <w:p w14:paraId="3A0E5A53" w14:textId="0E2BCC50" w:rsidR="00BE0F30" w:rsidRDefault="00BE0F30">
      <w:pPr>
        <w:rPr>
          <w:rFonts w:ascii="Arial" w:hAnsi="Arial" w:cs="Arial"/>
          <w:b/>
          <w:bCs/>
          <w:kern w:val="32"/>
          <w:sz w:val="32"/>
          <w:szCs w:val="32"/>
        </w:rPr>
      </w:pPr>
      <w:r>
        <w:br w:type="page"/>
      </w:r>
    </w:p>
    <w:p w14:paraId="53AC06A1" w14:textId="77777777" w:rsidR="00566F6E" w:rsidRDefault="00566F6E" w:rsidP="00566F6E">
      <w:pPr>
        <w:pStyle w:val="Heading1"/>
      </w:pPr>
      <w:bookmarkStart w:id="16" w:name="_Toc52971432"/>
      <w:r w:rsidRPr="00220C65">
        <w:lastRenderedPageBreak/>
        <w:t>Steinefnaframleiðsla</w:t>
      </w:r>
      <w:bookmarkEnd w:id="16"/>
    </w:p>
    <w:p w14:paraId="09873E96" w14:textId="77777777" w:rsidR="004D2D7F" w:rsidRDefault="004D2D7F" w:rsidP="004D2D7F">
      <w:pPr>
        <w:pStyle w:val="Heading2"/>
      </w:pPr>
      <w:bookmarkStart w:id="17" w:name="_Toc52971433"/>
      <w:r>
        <w:t>Almennt</w:t>
      </w:r>
      <w:bookmarkEnd w:id="17"/>
    </w:p>
    <w:p w14:paraId="2478A9C8" w14:textId="6DDDAD23" w:rsidR="0069772B" w:rsidRPr="003400D2" w:rsidRDefault="0069772B" w:rsidP="00205924">
      <w:pPr>
        <w:ind w:firstLine="360"/>
        <w:jc w:val="both"/>
      </w:pPr>
      <w:r w:rsidRPr="003400D2">
        <w:t>Samhæfðir Evrópustaðlar sem ná yfir prófanir á steinefnum og framleiðslu þeirra tóku gildi</w:t>
      </w:r>
      <w:r w:rsidR="00676B53">
        <w:t xml:space="preserve"> sem ein heild</w:t>
      </w:r>
      <w:r w:rsidRPr="003400D2">
        <w:t xml:space="preserve"> þann 1. júní 2004. </w:t>
      </w:r>
      <w:r w:rsidR="00B5387B">
        <w:t>S</w:t>
      </w:r>
      <w:r w:rsidR="00B5387B" w:rsidRPr="003400D2">
        <w:t>taðlar</w:t>
      </w:r>
      <w:r w:rsidR="00B5387B">
        <w:t>nir</w:t>
      </w:r>
      <w:r w:rsidR="00B5387B" w:rsidRPr="003400D2">
        <w:t xml:space="preserve"> eru </w:t>
      </w:r>
      <w:r w:rsidR="00B5387B">
        <w:t xml:space="preserve">unnir og </w:t>
      </w:r>
      <w:r w:rsidR="001B272A">
        <w:t>gefnir út af stað</w:t>
      </w:r>
      <w:r w:rsidR="00B5387B" w:rsidRPr="003400D2">
        <w:t>l</w:t>
      </w:r>
      <w:r w:rsidR="001B272A">
        <w:t>a</w:t>
      </w:r>
      <w:r w:rsidR="00B5387B" w:rsidRPr="003400D2">
        <w:t>nefnd CEN TC</w:t>
      </w:r>
      <w:r w:rsidR="00EE1F43">
        <w:t xml:space="preserve"> </w:t>
      </w:r>
      <w:r w:rsidR="00B5387B" w:rsidRPr="003400D2">
        <w:t>154 (</w:t>
      </w:r>
      <w:r w:rsidR="00B5387B">
        <w:t xml:space="preserve">e. </w:t>
      </w:r>
      <w:r w:rsidR="00B5387B" w:rsidRPr="003400D2">
        <w:t>Aggregates)</w:t>
      </w:r>
      <w:r w:rsidR="00B5387B">
        <w:t xml:space="preserve">. </w:t>
      </w:r>
      <w:r w:rsidR="00752D0E">
        <w:t>E</w:t>
      </w:r>
      <w:r w:rsidRPr="002B0B42">
        <w:t>ndurskoðun framleiðslustaðlanna og samræming</w:t>
      </w:r>
      <w:r w:rsidR="00205924" w:rsidRPr="002B0B42">
        <w:t>u</w:t>
      </w:r>
      <w:r w:rsidRPr="002B0B42">
        <w:t xml:space="preserve"> þeirra </w:t>
      </w:r>
      <w:r w:rsidR="00752D0E">
        <w:t xml:space="preserve">að miklu leyti </w:t>
      </w:r>
      <w:r w:rsidR="00205924" w:rsidRPr="002B0B42">
        <w:t>lauk vorið</w:t>
      </w:r>
      <w:r w:rsidRPr="002B0B42">
        <w:t xml:space="preserve"> 201</w:t>
      </w:r>
      <w:r w:rsidR="00205924" w:rsidRPr="002B0B42">
        <w:t>3</w:t>
      </w:r>
      <w:r w:rsidR="002B0B42">
        <w:t>,</w:t>
      </w:r>
      <w:r w:rsidRPr="002B0B42">
        <w:t xml:space="preserve"> en þá </w:t>
      </w:r>
      <w:r w:rsidR="00205924" w:rsidRPr="002B0B42">
        <w:t xml:space="preserve">var endurskoðuð útgáfa staðlanna </w:t>
      </w:r>
      <w:r w:rsidR="00752D0E">
        <w:t>samþykkt af aðildarlöndunum til útgáfu</w:t>
      </w:r>
      <w:r w:rsidRPr="002B0B42">
        <w:t>.</w:t>
      </w:r>
      <w:r w:rsidR="00205924">
        <w:t xml:space="preserve"> </w:t>
      </w:r>
      <w:r w:rsidR="00752D0E">
        <w:t>S</w:t>
      </w:r>
      <w:r w:rsidR="00205924">
        <w:t xml:space="preserve">taðlarnir </w:t>
      </w:r>
      <w:r w:rsidR="00752D0E">
        <w:t>voru</w:t>
      </w:r>
      <w:r w:rsidR="00205924">
        <w:t xml:space="preserve"> </w:t>
      </w:r>
      <w:r w:rsidR="00B5387B">
        <w:t xml:space="preserve">síðan </w:t>
      </w:r>
      <w:r w:rsidR="00205924">
        <w:t xml:space="preserve">formlega dregnir til baka af tæknilegum ástæðum, meðan unnið </w:t>
      </w:r>
      <w:r w:rsidR="00752D0E">
        <w:t>var</w:t>
      </w:r>
      <w:r w:rsidR="00205924">
        <w:t xml:space="preserve"> að lagfæringu </w:t>
      </w:r>
      <w:r w:rsidR="002B0B42">
        <w:t>á þeim</w:t>
      </w:r>
      <w:r w:rsidR="00B6662E">
        <w:t xml:space="preserve">, en samkvæmt nýjustu útgáfum í vinnuferlinu </w:t>
      </w:r>
      <w:r w:rsidR="00D00D11">
        <w:t>hafa ekki orðið</w:t>
      </w:r>
      <w:r w:rsidR="00B6662E">
        <w:t xml:space="preserve"> afgerandi breyting</w:t>
      </w:r>
      <w:r w:rsidR="00D00D11">
        <w:t>ar</w:t>
      </w:r>
      <w:r w:rsidR="00B6662E">
        <w:t xml:space="preserve"> frá 2013 útgáfunum</w:t>
      </w:r>
      <w:r w:rsidR="00205924">
        <w:t>.</w:t>
      </w:r>
      <w:r w:rsidR="00FC5A81">
        <w:t xml:space="preserve"> Nýja</w:t>
      </w:r>
      <w:r w:rsidR="00D00D11">
        <w:t xml:space="preserve">r </w:t>
      </w:r>
      <w:r w:rsidR="00FC5A81">
        <w:t>útgáfur framleiðslustaðlanna</w:t>
      </w:r>
      <w:r w:rsidR="00D00D11">
        <w:t xml:space="preserve"> voru</w:t>
      </w:r>
      <w:r w:rsidR="00FC5A81">
        <w:t xml:space="preserve"> aftur</w:t>
      </w:r>
      <w:r w:rsidR="00D00D11">
        <w:t xml:space="preserve"> </w:t>
      </w:r>
      <w:r w:rsidR="00FC5A81">
        <w:t>samþykkta</w:t>
      </w:r>
      <w:r w:rsidR="00D00D11">
        <w:t xml:space="preserve">r </w:t>
      </w:r>
      <w:r w:rsidR="00FC5A81">
        <w:t xml:space="preserve">formlega </w:t>
      </w:r>
      <w:r w:rsidR="00D00D11">
        <w:t xml:space="preserve">(e. </w:t>
      </w:r>
      <w:r w:rsidR="00923270">
        <w:t>F</w:t>
      </w:r>
      <w:r w:rsidR="00D00D11">
        <w:t xml:space="preserve">ormal </w:t>
      </w:r>
      <w:r w:rsidR="00923270">
        <w:t>V</w:t>
      </w:r>
      <w:r w:rsidR="00D00D11">
        <w:t>ote) í ágúst 2018</w:t>
      </w:r>
      <w:r w:rsidR="00FC5A81">
        <w:t>, en voru aftur dregnir til baka af tæknilegum ástæðum</w:t>
      </w:r>
      <w:r w:rsidR="00D00D11">
        <w:t xml:space="preserve"> og munu þeir væntanlega </w:t>
      </w:r>
      <w:r w:rsidR="00FC5A81">
        <w:t xml:space="preserve">ekki </w:t>
      </w:r>
      <w:r w:rsidR="00D00D11">
        <w:t>koma út</w:t>
      </w:r>
      <w:r w:rsidR="00FC5A81">
        <w:t xml:space="preserve"> fyrr en</w:t>
      </w:r>
      <w:r w:rsidR="00D00D11">
        <w:t xml:space="preserve"> á árinu 20</w:t>
      </w:r>
      <w:r w:rsidR="00141C8B">
        <w:t>2</w:t>
      </w:r>
      <w:r w:rsidR="007D73FF">
        <w:t>2</w:t>
      </w:r>
      <w:r w:rsidR="00D00D11">
        <w:t>.</w:t>
      </w:r>
      <w:r w:rsidR="00205924">
        <w:t xml:space="preserve"> Í </w:t>
      </w:r>
      <w:r w:rsidR="00D00D11">
        <w:t>Efnisgæðaritinu</w:t>
      </w:r>
      <w:r w:rsidR="00205924">
        <w:t xml:space="preserve"> og</w:t>
      </w:r>
      <w:r w:rsidR="002B0B42">
        <w:t xml:space="preserve"> í</w:t>
      </w:r>
      <w:r w:rsidR="00205924">
        <w:t xml:space="preserve"> þessum viðauka er miðað við </w:t>
      </w:r>
      <w:r w:rsidR="00D00D11">
        <w:t>þessar nýju</w:t>
      </w:r>
      <w:r w:rsidR="008B18BD">
        <w:t xml:space="preserve"> </w:t>
      </w:r>
      <w:r w:rsidR="00D00D11">
        <w:t xml:space="preserve">útgáfur </w:t>
      </w:r>
      <w:r w:rsidR="00205924">
        <w:t>af framleiðslustöðlum ÍST EN 12620, 13043 og 13242</w:t>
      </w:r>
      <w:r w:rsidR="001115F5">
        <w:t>.</w:t>
      </w:r>
      <w:r w:rsidR="00205924">
        <w:t xml:space="preserve"> </w:t>
      </w:r>
      <w:r w:rsidR="00141C8B">
        <w:t>Í</w:t>
      </w:r>
      <w:r w:rsidR="002B0B42">
        <w:t>slensk</w:t>
      </w:r>
      <w:r w:rsidR="00141C8B">
        <w:t>ur</w:t>
      </w:r>
      <w:r w:rsidR="002B0B42">
        <w:t xml:space="preserve"> fylgistaðal</w:t>
      </w:r>
      <w:r w:rsidR="008B18BD">
        <w:t>l</w:t>
      </w:r>
      <w:r w:rsidR="002B0B42">
        <w:t xml:space="preserve"> Í</w:t>
      </w:r>
      <w:r w:rsidR="00205924">
        <w:t>ST 76</w:t>
      </w:r>
      <w:r w:rsidR="00D24A7C">
        <w:t xml:space="preserve"> (steinefni)</w:t>
      </w:r>
      <w:r w:rsidR="00141C8B">
        <w:t xml:space="preserve"> þarfnast endurskoðunar en hún verður að bíða eftir formlegri útgáfu framleiðslustaðlanna.</w:t>
      </w:r>
      <w:r w:rsidRPr="003400D2">
        <w:t xml:space="preserve"> </w:t>
      </w:r>
      <w:r w:rsidR="002B0B42">
        <w:t>Staðlar um</w:t>
      </w:r>
      <w:r w:rsidRPr="003400D2">
        <w:t xml:space="preserve"> prófanir</w:t>
      </w:r>
      <w:r w:rsidR="002B0B42">
        <w:t xml:space="preserve"> og framleiðslu</w:t>
      </w:r>
      <w:r w:rsidRPr="003400D2">
        <w:t xml:space="preserve"> á steinefnum</w:t>
      </w:r>
      <w:r w:rsidR="00B5387B">
        <w:t>, m.a.</w:t>
      </w:r>
      <w:r w:rsidRPr="003400D2">
        <w:t xml:space="preserve"> til vegagerðar</w:t>
      </w:r>
      <w:r w:rsidR="00B5387B">
        <w:t>,</w:t>
      </w:r>
      <w:r w:rsidR="002B0B42">
        <w:t xml:space="preserve"> hafa mikla þýðingu hérlendis</w:t>
      </w:r>
      <w:r w:rsidRPr="003400D2">
        <w:t xml:space="preserve"> í ljósi þess að sem aðilum að EES ber Íslandi að fara eftir ákvæðum </w:t>
      </w:r>
      <w:r w:rsidR="002B0B42">
        <w:t>þeirra</w:t>
      </w:r>
      <w:r w:rsidRPr="003400D2">
        <w:t>. Yfir 40 prófunar</w:t>
      </w:r>
      <w:r w:rsidR="00EA3498">
        <w:t>staðlar</w:t>
      </w:r>
      <w:r w:rsidRPr="003400D2">
        <w:t xml:space="preserve"> </w:t>
      </w:r>
      <w:r w:rsidR="00676B53">
        <w:t>eru nú í gildi</w:t>
      </w:r>
      <w:r w:rsidRPr="003400D2">
        <w:t xml:space="preserve"> sem Evrópustaðlar fyrir prófanir á steinefnum og níu framleiðslustaðlar sem fjalla </w:t>
      </w:r>
      <w:r w:rsidR="00FD30DE">
        <w:t xml:space="preserve">m.a. </w:t>
      </w:r>
      <w:r w:rsidRPr="003400D2">
        <w:t xml:space="preserve">um </w:t>
      </w:r>
      <w:r w:rsidR="00FD30DE">
        <w:t xml:space="preserve">kröfuflokka fyrir </w:t>
      </w:r>
      <w:r w:rsidRPr="003400D2">
        <w:t>steinefni til mismunandi nota, svo sem í steinsteypu, malbik og óbundin efni</w:t>
      </w:r>
      <w:r w:rsidR="00261FAA">
        <w:t xml:space="preserve">, en </w:t>
      </w:r>
      <w:r w:rsidR="007317FC">
        <w:t>þessir</w:t>
      </w:r>
      <w:r w:rsidR="00261FAA">
        <w:t xml:space="preserve"> þrír </w:t>
      </w:r>
      <w:r w:rsidR="007317FC">
        <w:t xml:space="preserve">framleiðslustaðlar </w:t>
      </w:r>
      <w:r w:rsidR="00261FAA">
        <w:t>eru til um</w:t>
      </w:r>
      <w:r w:rsidR="007317FC">
        <w:t>f</w:t>
      </w:r>
      <w:r w:rsidR="00261FAA">
        <w:t>jöllunar hér</w:t>
      </w:r>
      <w:r w:rsidRPr="003400D2">
        <w:t xml:space="preserve">. </w:t>
      </w:r>
      <w:r w:rsidR="007317FC">
        <w:t xml:space="preserve">Þeir framleiðslustaðlar sem </w:t>
      </w:r>
      <w:r w:rsidR="00D00D11">
        <w:t>Efnisgæðaritið</w:t>
      </w:r>
      <w:r w:rsidR="007317FC">
        <w:t xml:space="preserve"> fjallar ekki </w:t>
      </w:r>
      <w:r w:rsidR="002B0B42">
        <w:t xml:space="preserve">um </w:t>
      </w:r>
      <w:r w:rsidR="007317FC">
        <w:t>sérstaklega</w:t>
      </w:r>
      <w:r w:rsidR="007263BB">
        <w:t>,</w:t>
      </w:r>
      <w:r w:rsidR="007317FC">
        <w:t xml:space="preserve"> </w:t>
      </w:r>
      <w:r w:rsidR="007263BB">
        <w:t xml:space="preserve">enn sem komið er, </w:t>
      </w:r>
      <w:r w:rsidR="007317FC">
        <w:t>eru</w:t>
      </w:r>
      <w:r w:rsidR="00FD30DE">
        <w:t xml:space="preserve"> um múrefni, létt steinefni (2 staðlar), </w:t>
      </w:r>
      <w:r w:rsidR="00FD30DE" w:rsidRPr="008B564C">
        <w:t>rofvarnargrjót</w:t>
      </w:r>
      <w:r w:rsidR="00FD30DE">
        <w:t xml:space="preserve"> (2 staðlar) og steinefni undir járnbraut</w:t>
      </w:r>
      <w:r w:rsidR="001A665D">
        <w:t>arteina</w:t>
      </w:r>
      <w:r w:rsidR="00FD30DE">
        <w:t>.</w:t>
      </w:r>
    </w:p>
    <w:p w14:paraId="4416145B" w14:textId="50F50149" w:rsidR="0069772B" w:rsidRPr="003400D2" w:rsidRDefault="00261FAA" w:rsidP="0069772B">
      <w:pPr>
        <w:ind w:firstLine="360"/>
        <w:jc w:val="both"/>
      </w:pPr>
      <w:r>
        <w:t>Það er e</w:t>
      </w:r>
      <w:r w:rsidR="0069772B" w:rsidRPr="003400D2">
        <w:t>kki skylda</w:t>
      </w:r>
      <w:r>
        <w:t xml:space="preserve"> aðildarlanda</w:t>
      </w:r>
      <w:r w:rsidR="0069772B" w:rsidRPr="003400D2">
        <w:t xml:space="preserve"> að nota alla þá prófunarstaðla sem settir eru fram </w:t>
      </w:r>
      <w:r w:rsidR="002C4F29">
        <w:t xml:space="preserve">í framleiðslustöðlum </w:t>
      </w:r>
      <w:r w:rsidR="0069772B" w:rsidRPr="003400D2">
        <w:t xml:space="preserve">og sumir þeirra miðast við séraðstæður í einstökum löndum. Því er nauðsynlegt að velja úr </w:t>
      </w:r>
      <w:r>
        <w:t>þær prófunaraðferðir</w:t>
      </w:r>
      <w:r w:rsidR="0069772B" w:rsidRPr="003400D2">
        <w:t xml:space="preserve"> sem steinefnaiðnaðurinn í hverju landi kemur sér saman um að æskilegt eða nauðsynlegt sé að nota til að tryggja að fullnægjandi upplýsingar liggi fyrir um gæði steinefna til mannvirkjagerðar. </w:t>
      </w:r>
      <w:r w:rsidR="0069772B">
        <w:t xml:space="preserve">Í </w:t>
      </w:r>
      <w:r w:rsidR="007263BB">
        <w:t>Efnisgæðaritinu</w:t>
      </w:r>
      <w:r w:rsidR="0069772B">
        <w:t xml:space="preserve"> hafa verið valdar þær prófunaraðferðir sem eru taldar henta best í</w:t>
      </w:r>
      <w:r>
        <w:t>slenskum steinefnum og aðstæðum</w:t>
      </w:r>
      <w:r w:rsidR="002B0B42">
        <w:t xml:space="preserve"> í vegagerð</w:t>
      </w:r>
      <w:r>
        <w:t xml:space="preserve"> og er g</w:t>
      </w:r>
      <w:r w:rsidR="0069772B">
        <w:t>erð grein fyrir því hvaða prófunaraðferðir hafa verið valdar í þessum viðauka.</w:t>
      </w:r>
    </w:p>
    <w:p w14:paraId="1E17B177" w14:textId="145895B5" w:rsidR="00BE0F30" w:rsidRDefault="0069772B" w:rsidP="00F42E3D">
      <w:pPr>
        <w:ind w:firstLine="360"/>
        <w:jc w:val="both"/>
      </w:pPr>
      <w:r w:rsidRPr="003400D2">
        <w:t xml:space="preserve">Framleiðslustaðlar fyrir óbundin steinefni, bikbundin </w:t>
      </w:r>
      <w:r w:rsidR="002B0B42">
        <w:t xml:space="preserve">steinefni </w:t>
      </w:r>
      <w:r w:rsidRPr="003400D2">
        <w:t xml:space="preserve">og steinefni í steinsteypu </w:t>
      </w:r>
      <w:r w:rsidR="002B0B42">
        <w:t>hafa verið samræmdir að hluta</w:t>
      </w:r>
      <w:r w:rsidRPr="003400D2">
        <w:t>, en þó eru tilteknar prófunaraðferðir og kröfur þess eðlis að þær henta eingöngu viðkomandi afurð</w:t>
      </w:r>
      <w:r w:rsidR="007520D2">
        <w:t xml:space="preserve"> og í þeim tilvikum á samræming ekki við</w:t>
      </w:r>
      <w:r w:rsidRPr="003400D2">
        <w:t>. Í stöðlunum er í mörgum tilfellum gefinn kostur á að velja á milli tveggja eða flei</w:t>
      </w:r>
      <w:r w:rsidR="005E6917">
        <w:t xml:space="preserve">ri prófunaraðferða sem mæla </w:t>
      </w:r>
      <w:r w:rsidR="00F42E3D">
        <w:t>svipaða</w:t>
      </w:r>
      <w:r w:rsidR="00F42E3D" w:rsidRPr="003400D2">
        <w:t xml:space="preserve"> </w:t>
      </w:r>
      <w:r w:rsidRPr="003400D2">
        <w:t>eiginleika steinefna</w:t>
      </w:r>
      <w:r w:rsidR="001A665D">
        <w:t>, en þó ekki nákvæmlega þá sömu</w:t>
      </w:r>
      <w:r w:rsidRPr="003400D2">
        <w:t>. Í framleiðslustöðlunum er að finna ákvæði varðandi framsetningu prófunarniðurstaðna á sýnum, t.d. hvað varðar kornadreifingu, lögun, styrk, veðrunarþol og efnainnihald þeirra, svo eitthvað sé nefnt. Einnig er viðauk</w:t>
      </w:r>
      <w:r w:rsidR="00F42E3D">
        <w:t>i</w:t>
      </w:r>
      <w:r w:rsidRPr="003400D2">
        <w:t xml:space="preserve"> </w:t>
      </w:r>
      <w:r w:rsidR="00951B19">
        <w:br/>
      </w:r>
      <w:r w:rsidR="00F42E3D">
        <w:t>sem kallast</w:t>
      </w:r>
      <w:r w:rsidR="007F609F">
        <w:t xml:space="preserve"> ZA </w:t>
      </w:r>
      <w:r w:rsidRPr="003400D2">
        <w:t xml:space="preserve">í öllum framleiðslustöðlunum með lýsingu á því </w:t>
      </w:r>
      <w:r w:rsidR="00FE3C60">
        <w:t xml:space="preserve">hvaða </w:t>
      </w:r>
      <w:r w:rsidR="00623155">
        <w:t>eftirlits</w:t>
      </w:r>
      <w:r w:rsidR="00FE3C60">
        <w:t xml:space="preserve">kerfi </w:t>
      </w:r>
      <w:r w:rsidR="002A0CFF">
        <w:t>(</w:t>
      </w:r>
      <w:r w:rsidR="00951B19">
        <w:t xml:space="preserve">e. </w:t>
      </w:r>
      <w:r w:rsidR="00F42E3D">
        <w:t xml:space="preserve">System of </w:t>
      </w:r>
      <w:r w:rsidR="001B272A">
        <w:t>AVCP</w:t>
      </w:r>
      <w:r w:rsidR="002A0CFF">
        <w:t xml:space="preserve">) </w:t>
      </w:r>
      <w:r w:rsidR="00FE3C60">
        <w:t>má nota</w:t>
      </w:r>
      <w:r w:rsidR="007263BB">
        <w:t>.</w:t>
      </w:r>
      <w:r w:rsidR="00AC6D7E">
        <w:t xml:space="preserve"> </w:t>
      </w:r>
      <w:r w:rsidR="00623155">
        <w:t>Eftirlitsk</w:t>
      </w:r>
      <w:r w:rsidR="007263BB">
        <w:t xml:space="preserve">erfin sem um ræðir eru kerfi </w:t>
      </w:r>
      <w:r w:rsidR="00AC6D7E">
        <w:t xml:space="preserve">2+ </w:t>
      </w:r>
      <w:r w:rsidR="00A77241">
        <w:t xml:space="preserve">sem felur í sér ytra eftirlit </w:t>
      </w:r>
      <w:r w:rsidR="00AC6D7E">
        <w:t xml:space="preserve">eða </w:t>
      </w:r>
      <w:r w:rsidR="007263BB">
        <w:t xml:space="preserve">kerfi </w:t>
      </w:r>
      <w:r w:rsidR="00AC6D7E">
        <w:t>4</w:t>
      </w:r>
      <w:r w:rsidR="00A77241">
        <w:t xml:space="preserve"> þar sem framleiðandi lýsir </w:t>
      </w:r>
      <w:r w:rsidR="002A0CFF">
        <w:t xml:space="preserve">sjálfur </w:t>
      </w:r>
      <w:r w:rsidR="00A77241">
        <w:t xml:space="preserve">yfir eiginleikum framleidds </w:t>
      </w:r>
      <w:r w:rsidR="007263BB">
        <w:t>stein</w:t>
      </w:r>
      <w:r w:rsidR="00A77241">
        <w:t>efnis</w:t>
      </w:r>
      <w:r w:rsidR="007263BB">
        <w:t>.</w:t>
      </w:r>
      <w:r w:rsidR="00FE3C60">
        <w:t xml:space="preserve"> </w:t>
      </w:r>
      <w:r w:rsidR="007263BB">
        <w:t>V</w:t>
      </w:r>
      <w:r w:rsidR="00FE3C60">
        <w:t xml:space="preserve">ið yfirlýsingu </w:t>
      </w:r>
      <w:r w:rsidR="007263BB">
        <w:t xml:space="preserve">framleiðanda </w:t>
      </w:r>
      <w:r w:rsidR="00FE3C60">
        <w:t>á eiginleikum</w:t>
      </w:r>
      <w:r w:rsidR="00F42E3D">
        <w:t xml:space="preserve"> </w:t>
      </w:r>
      <w:r w:rsidR="00FE3C60">
        <w:t>steinefna</w:t>
      </w:r>
      <w:r w:rsidR="007F609F">
        <w:t xml:space="preserve"> </w:t>
      </w:r>
      <w:r w:rsidR="007F609F" w:rsidRPr="00FE3C60">
        <w:t>(</w:t>
      </w:r>
      <w:r w:rsidR="00D526E7" w:rsidRPr="00FE3C60">
        <w:t>e</w:t>
      </w:r>
      <w:r w:rsidR="001A665D">
        <w:t>.</w:t>
      </w:r>
      <w:r w:rsidR="00FE3C60" w:rsidRPr="00FE3C60">
        <w:t xml:space="preserve"> </w:t>
      </w:r>
      <w:r w:rsidR="00F42E3D">
        <w:t>Declaration</w:t>
      </w:r>
      <w:r w:rsidR="00FE3C60" w:rsidRPr="00FE3C60">
        <w:t xml:space="preserve"> of Performance (</w:t>
      </w:r>
      <w:r w:rsidR="00F42E3D">
        <w:t>Do</w:t>
      </w:r>
      <w:r w:rsidR="00FE3C60" w:rsidRPr="00FE3C60">
        <w:t>P)</w:t>
      </w:r>
      <w:r w:rsidR="007F609F" w:rsidRPr="00FE3C60">
        <w:t xml:space="preserve"> sem er grundvöllur CE-merkingar efnisgerða</w:t>
      </w:r>
      <w:r w:rsidR="001B272A">
        <w:t>,</w:t>
      </w:r>
      <w:r w:rsidR="007263BB">
        <w:t xml:space="preserve"> skal notast við það kerfi sem á við um viðkomandi afurð, sjá nánari umfjöllun um </w:t>
      </w:r>
      <w:r w:rsidR="00623155">
        <w:t>eftirlitskerfin</w:t>
      </w:r>
      <w:r w:rsidR="007263BB">
        <w:t xml:space="preserve"> í kafla 2.3</w:t>
      </w:r>
      <w:r w:rsidR="000101FF">
        <w:t xml:space="preserve"> hér að neðan</w:t>
      </w:r>
      <w:r w:rsidR="00FE3C60">
        <w:t xml:space="preserve">. CE merkingin </w:t>
      </w:r>
      <w:r w:rsidR="00A77241">
        <w:t>skal vera í samræmi við</w:t>
      </w:r>
      <w:r w:rsidR="00FE3C60">
        <w:t xml:space="preserve"> </w:t>
      </w:r>
      <w:r w:rsidR="001115F5">
        <w:t xml:space="preserve">ákvæði framleiðslustaðlanna </w:t>
      </w:r>
      <w:r w:rsidR="001115F5" w:rsidRPr="002C7BF3">
        <w:rPr>
          <w:iCs/>
        </w:rPr>
        <w:t>um m</w:t>
      </w:r>
      <w:r w:rsidR="002A0174" w:rsidRPr="002C7BF3">
        <w:rPr>
          <w:iCs/>
        </w:rPr>
        <w:t>at og staðfesting</w:t>
      </w:r>
      <w:r w:rsidR="001115F5">
        <w:rPr>
          <w:iCs/>
        </w:rPr>
        <w:t>u</w:t>
      </w:r>
      <w:r w:rsidR="002A0174" w:rsidRPr="002C7BF3">
        <w:rPr>
          <w:iCs/>
        </w:rPr>
        <w:t xml:space="preserve"> á gæðastöðugleika steinefna – gerðarprófun og framleiðslueftirlit</w:t>
      </w:r>
      <w:r w:rsidR="00FE3C60">
        <w:t xml:space="preserve"> </w:t>
      </w:r>
      <w:r>
        <w:t>(</w:t>
      </w:r>
      <w:r w:rsidR="00076C00">
        <w:t>e</w:t>
      </w:r>
      <w:r w:rsidR="001A665D">
        <w:t>.</w:t>
      </w:r>
      <w:r>
        <w:t xml:space="preserve"> </w:t>
      </w:r>
      <w:r w:rsidR="001A665D" w:rsidRPr="001A665D">
        <w:t>Assessment and Verification of the Constancy of Performance (AVCP) of aggregates - Type testing and Factory Production Control</w:t>
      </w:r>
      <w:r w:rsidR="00951B19">
        <w:t>)</w:t>
      </w:r>
      <w:r w:rsidR="007F609F">
        <w:t>.</w:t>
      </w:r>
      <w:r w:rsidRPr="003400D2">
        <w:t xml:space="preserve"> </w:t>
      </w:r>
    </w:p>
    <w:p w14:paraId="0DFFE3DF" w14:textId="77777777" w:rsidR="00EE79B9" w:rsidRDefault="00EE79B9" w:rsidP="0069772B">
      <w:pPr>
        <w:ind w:firstLine="360"/>
        <w:jc w:val="both"/>
      </w:pPr>
    </w:p>
    <w:p w14:paraId="2CD599FC" w14:textId="77777777" w:rsidR="00BF73BD" w:rsidRDefault="00BF73BD" w:rsidP="0069772B">
      <w:pPr>
        <w:ind w:firstLine="360"/>
        <w:jc w:val="both"/>
      </w:pPr>
      <w:r>
        <w:rPr>
          <w:noProof/>
          <w:lang w:val="en-GB" w:eastAsia="en-GB"/>
        </w:rPr>
        <mc:AlternateContent>
          <mc:Choice Requires="wps">
            <w:drawing>
              <wp:inline distT="0" distB="0" distL="0" distR="0" wp14:anchorId="1031D5FA" wp14:editId="62EA9DE0">
                <wp:extent cx="5341620" cy="1403985"/>
                <wp:effectExtent l="0" t="0" r="1143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403985"/>
                        </a:xfrm>
                        <a:prstGeom prst="rect">
                          <a:avLst/>
                        </a:prstGeom>
                        <a:solidFill>
                          <a:srgbClr val="FFFFFF"/>
                        </a:solidFill>
                        <a:ln w="9525">
                          <a:solidFill>
                            <a:srgbClr val="000000"/>
                          </a:solidFill>
                          <a:miter lim="800000"/>
                          <a:headEnd/>
                          <a:tailEnd/>
                        </a:ln>
                      </wps:spPr>
                      <wps:txbx>
                        <w:txbxContent>
                          <w:p w14:paraId="2B200848" w14:textId="46935AD9" w:rsidR="00A07A52" w:rsidRPr="00676B53" w:rsidRDefault="00A07A52" w:rsidP="00CA393C">
                            <w:pPr>
                              <w:jc w:val="both"/>
                              <w:rPr>
                                <w:b/>
                              </w:rPr>
                            </w:pPr>
                            <w:r w:rsidRPr="00676B53">
                              <w:rPr>
                                <w:b/>
                              </w:rPr>
                              <w:t>Gerðarprófanir (</w:t>
                            </w:r>
                            <w:r>
                              <w:rPr>
                                <w:b/>
                              </w:rPr>
                              <w:t xml:space="preserve">e. </w:t>
                            </w:r>
                            <w:r w:rsidRPr="00676B53">
                              <w:rPr>
                                <w:b/>
                              </w:rPr>
                              <w:t>Type Testing, TT):</w:t>
                            </w:r>
                          </w:p>
                          <w:p w14:paraId="06EA7FDC" w14:textId="45A77D98" w:rsidR="00A07A52" w:rsidRDefault="00A07A52" w:rsidP="00395664">
                            <w:pPr>
                              <w:jc w:val="both"/>
                            </w:pPr>
                            <w:r w:rsidRPr="00676B53">
                              <w:t>Allar þær prófanir sem ákvarða eiginleika steinefnasýna hverrar efnisgerðar.</w:t>
                            </w:r>
                            <w:r w:rsidRPr="00FE3C60">
                              <w:rPr>
                                <w:lang w:eastAsia="nl-NL"/>
                              </w:rPr>
                              <w:t xml:space="preserve"> </w:t>
                            </w:r>
                          </w:p>
                          <w:p w14:paraId="6D37DC42" w14:textId="5D2098D0" w:rsidR="00A07A52" w:rsidRPr="00676B53" w:rsidRDefault="00A07A52" w:rsidP="00395664">
                            <w:pPr>
                              <w:jc w:val="both"/>
                              <w:rPr>
                                <w:b/>
                              </w:rPr>
                            </w:pPr>
                            <w:r w:rsidRPr="00676B53">
                              <w:rPr>
                                <w:b/>
                              </w:rPr>
                              <w:t>Framleiðslueftirlit (</w:t>
                            </w:r>
                            <w:r>
                              <w:rPr>
                                <w:b/>
                              </w:rPr>
                              <w:t xml:space="preserve">e. </w:t>
                            </w:r>
                            <w:r w:rsidRPr="00676B53">
                              <w:rPr>
                                <w:b/>
                              </w:rPr>
                              <w:t>Factory Production Control, FPC):</w:t>
                            </w:r>
                          </w:p>
                          <w:p w14:paraId="1309B8CE" w14:textId="2362FDA4" w:rsidR="00A07A52" w:rsidRPr="00676B53" w:rsidRDefault="00A07A52" w:rsidP="00395664">
                            <w:r w:rsidRPr="00676B53">
                              <w:t>Stöðugt innra eftirlit framleiðanda með steinefnaframleiðslu þar sem skráð er á skipulagðan hátt m.a. aðferð við sýnatöku, niðurstöður prófana, tíðni prófana, frávik frá yfirlýstum eiginleikum og aðgerðir vegna frávika, svo og annað sem skrá þarf í samræmi við gæðakerfi framleiðanda.</w:t>
                            </w:r>
                            <w:r w:rsidRPr="00FE3C60">
                              <w:t xml:space="preserve"> </w:t>
                            </w:r>
                          </w:p>
                          <w:p w14:paraId="7AE282D0" w14:textId="2B052ABF" w:rsidR="00A07A52" w:rsidRDefault="00A07A52" w:rsidP="00395664">
                            <w:pPr>
                              <w:rPr>
                                <w:b/>
                              </w:rPr>
                            </w:pPr>
                            <w:r w:rsidRPr="00951B19">
                              <w:rPr>
                                <w:b/>
                              </w:rPr>
                              <w:t xml:space="preserve">Mat og staðfesting á gæðastöðugleika steinefna </w:t>
                            </w:r>
                            <w:r w:rsidRPr="00FE3C60">
                              <w:rPr>
                                <w:b/>
                              </w:rPr>
                              <w:t>(e</w:t>
                            </w:r>
                            <w:r>
                              <w:rPr>
                                <w:b/>
                              </w:rPr>
                              <w:t>.</w:t>
                            </w:r>
                            <w:r w:rsidRPr="00FE3C60">
                              <w:rPr>
                                <w:b/>
                              </w:rPr>
                              <w:t xml:space="preserve"> Assessment and Verification of the Constancy of Performance (AVCP)</w:t>
                            </w:r>
                            <w:r>
                              <w:rPr>
                                <w:b/>
                              </w:rPr>
                              <w:t>)</w:t>
                            </w:r>
                            <w:r w:rsidRPr="00676B53">
                              <w:rPr>
                                <w:b/>
                              </w:rPr>
                              <w:t>:</w:t>
                            </w:r>
                          </w:p>
                          <w:p w14:paraId="59BEC8F9" w14:textId="1726F475" w:rsidR="00A07A52" w:rsidRPr="00676B53" w:rsidRDefault="00A07A52" w:rsidP="00395664">
                            <w:r w:rsidRPr="00676B53">
                              <w:t xml:space="preserve">Framleiðandi lýsir því yfir að hann uppfylli ákvæði </w:t>
                            </w:r>
                            <w:r>
                              <w:t xml:space="preserve">viðkomandi framleiðslustaðals </w:t>
                            </w:r>
                            <w:r w:rsidRPr="00676B53">
                              <w:t xml:space="preserve">um TT og FPC fyrir hverja efnisgerð </w:t>
                            </w:r>
                            <w:r>
                              <w:t>og hvaða eftirlits</w:t>
                            </w:r>
                            <w:r w:rsidRPr="00676B53">
                              <w:t>kerfi</w:t>
                            </w:r>
                            <w:r>
                              <w:t xml:space="preserve"> (e. System of AVCP)</w:t>
                            </w:r>
                            <w:r w:rsidRPr="00676B53">
                              <w:t xml:space="preserve"> á við (4 eða 2+)</w:t>
                            </w:r>
                            <w:r>
                              <w:t xml:space="preserve"> </w:t>
                            </w:r>
                            <w:r w:rsidRPr="00676B53">
                              <w:t>samkvæmt viðauka ZA</w:t>
                            </w:r>
                            <w:r>
                              <w:t xml:space="preserve"> í viðkomandi framleiðslustaðli.</w:t>
                            </w:r>
                            <w:r w:rsidRPr="00676B53">
                              <w:t xml:space="preserve"> </w:t>
                            </w:r>
                          </w:p>
                          <w:p w14:paraId="0730E748" w14:textId="77777777" w:rsidR="00A07A52" w:rsidRPr="00676B53" w:rsidRDefault="00A07A52" w:rsidP="007F609F">
                            <w:pPr>
                              <w:rPr>
                                <w:b/>
                              </w:rPr>
                            </w:pPr>
                            <w:r w:rsidRPr="00676B53">
                              <w:rPr>
                                <w:b/>
                              </w:rPr>
                              <w:t>CE merking:</w:t>
                            </w:r>
                          </w:p>
                          <w:p w14:paraId="7A255B11" w14:textId="70758966" w:rsidR="00A07A52" w:rsidRPr="00676B53" w:rsidRDefault="00A07A52" w:rsidP="007F609F">
                            <w:r w:rsidRPr="00676B53">
                              <w:t>Á grundvelli yfirlýsingar</w:t>
                            </w:r>
                            <w:r>
                              <w:t xml:space="preserve"> um eiginleika steinefna (e. Declaration of Performance, DoP)</w:t>
                            </w:r>
                            <w:r w:rsidRPr="00676B53">
                              <w:t>,</w:t>
                            </w:r>
                            <w:r>
                              <w:t xml:space="preserve"> sem er byggð á</w:t>
                            </w:r>
                            <w:r w:rsidRPr="00676B53">
                              <w:t xml:space="preserve"> gerðarpróf</w:t>
                            </w:r>
                            <w:r>
                              <w:t>unum</w:t>
                            </w:r>
                            <w:r w:rsidRPr="00676B53">
                              <w:t xml:space="preserve"> og framleiðslueftirlit</w:t>
                            </w:r>
                            <w:r>
                              <w:t>i</w:t>
                            </w:r>
                            <w:r w:rsidRPr="00676B53">
                              <w:t xml:space="preserve"> getur framleiðandi gefið út CE merkingu fyrir hverja efnisgerð. Í CE merkingu kemur m.a. fram hvaða eiginleika efnisgerð hefur samkvæmt niðurstöðum prófana í samræmi við viðkomandi framleiðslustaðal.</w:t>
                            </w:r>
                          </w:p>
                        </w:txbxContent>
                      </wps:txbx>
                      <wps:bodyPr rot="0" vert="horz" wrap="square" lIns="91440" tIns="45720" rIns="91440" bIns="45720" anchor="t" anchorCtr="0">
                        <a:spAutoFit/>
                      </wps:bodyPr>
                    </wps:wsp>
                  </a:graphicData>
                </a:graphic>
              </wp:inline>
            </w:drawing>
          </mc:Choice>
          <mc:Fallback>
            <w:pict>
              <v:shape w14:anchorId="1031D5FA" id="Text Box 2" o:spid="_x0000_s1027" type="#_x0000_t202" style="width:420.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">
                <v:textbox style="mso-fit-shape-to-text:t">
                  <w:txbxContent>
                    <w:p w14:paraId="2B200848" w14:textId="46935AD9" w:rsidR="00A07A52" w:rsidRPr="00676B53" w:rsidRDefault="00A07A52" w:rsidP="00CA393C">
                      <w:pPr>
                        <w:jc w:val="both"/>
                        <w:rPr>
                          <w:b/>
                        </w:rPr>
                      </w:pPr>
                      <w:r w:rsidRPr="00676B53">
                        <w:rPr>
                          <w:b/>
                        </w:rPr>
                        <w:t>Gerðarprófanir (</w:t>
                      </w:r>
                      <w:r>
                        <w:rPr>
                          <w:b/>
                        </w:rPr>
                        <w:t xml:space="preserve">e. </w:t>
                      </w:r>
                      <w:r w:rsidRPr="00676B53">
                        <w:rPr>
                          <w:b/>
                        </w:rPr>
                        <w:t>Type Testing, TT):</w:t>
                      </w:r>
                    </w:p>
                    <w:p w14:paraId="06EA7FDC" w14:textId="45A77D98" w:rsidR="00A07A52" w:rsidRDefault="00A07A52" w:rsidP="00395664">
                      <w:pPr>
                        <w:jc w:val="both"/>
                      </w:pPr>
                      <w:r w:rsidRPr="00676B53">
                        <w:t>Allar þær prófanir sem ákvarða eiginleika steinefnasýna hverrar efnisgerðar.</w:t>
                      </w:r>
                      <w:r w:rsidRPr="00FE3C60">
                        <w:rPr>
                          <w:lang w:eastAsia="nl-NL"/>
                        </w:rPr>
                        <w:t xml:space="preserve"> </w:t>
                      </w:r>
                    </w:p>
                    <w:p w14:paraId="6D37DC42" w14:textId="5D2098D0" w:rsidR="00A07A52" w:rsidRPr="00676B53" w:rsidRDefault="00A07A52" w:rsidP="00395664">
                      <w:pPr>
                        <w:jc w:val="both"/>
                        <w:rPr>
                          <w:b/>
                        </w:rPr>
                      </w:pPr>
                      <w:r w:rsidRPr="00676B53">
                        <w:rPr>
                          <w:b/>
                        </w:rPr>
                        <w:t>Framleiðslueftirlit (</w:t>
                      </w:r>
                      <w:r>
                        <w:rPr>
                          <w:b/>
                        </w:rPr>
                        <w:t xml:space="preserve">e. </w:t>
                      </w:r>
                      <w:r w:rsidRPr="00676B53">
                        <w:rPr>
                          <w:b/>
                        </w:rPr>
                        <w:t>Factory Production Control, FPC):</w:t>
                      </w:r>
                    </w:p>
                    <w:p w14:paraId="1309B8CE" w14:textId="2362FDA4" w:rsidR="00A07A52" w:rsidRPr="00676B53" w:rsidRDefault="00A07A52" w:rsidP="00395664">
                      <w:r w:rsidRPr="00676B53">
                        <w:t>Stöðugt innra eftirlit framleiðanda með steinefnaframleiðslu þar sem skráð er á skipulagðan hátt m.a. aðferð við sýnatöku, niðurstöður prófana, tíðni prófana, frávik frá yfirlýstum eiginleikum og aðgerðir vegna frávika, svo og annað sem skrá þarf í samræmi við gæðakerfi framleiðanda.</w:t>
                      </w:r>
                      <w:r w:rsidRPr="00FE3C60">
                        <w:t xml:space="preserve"> </w:t>
                      </w:r>
                    </w:p>
                    <w:p w14:paraId="7AE282D0" w14:textId="2B052ABF" w:rsidR="00A07A52" w:rsidRDefault="00A07A52" w:rsidP="00395664">
                      <w:pPr>
                        <w:rPr>
                          <w:b/>
                        </w:rPr>
                      </w:pPr>
                      <w:r w:rsidRPr="00951B19">
                        <w:rPr>
                          <w:b/>
                        </w:rPr>
                        <w:t xml:space="preserve">Mat og staðfesting á gæðastöðugleika steinefna </w:t>
                      </w:r>
                      <w:r w:rsidRPr="00FE3C60">
                        <w:rPr>
                          <w:b/>
                        </w:rPr>
                        <w:t>(e</w:t>
                      </w:r>
                      <w:r>
                        <w:rPr>
                          <w:b/>
                        </w:rPr>
                        <w:t>.</w:t>
                      </w:r>
                      <w:r w:rsidRPr="00FE3C60">
                        <w:rPr>
                          <w:b/>
                        </w:rPr>
                        <w:t xml:space="preserve"> Assessment and Verification of the Constancy of Performance (AVCP)</w:t>
                      </w:r>
                      <w:r>
                        <w:rPr>
                          <w:b/>
                        </w:rPr>
                        <w:t>)</w:t>
                      </w:r>
                      <w:r w:rsidRPr="00676B53">
                        <w:rPr>
                          <w:b/>
                        </w:rPr>
                        <w:t>:</w:t>
                      </w:r>
                    </w:p>
                    <w:p w14:paraId="59BEC8F9" w14:textId="1726F475" w:rsidR="00A07A52" w:rsidRPr="00676B53" w:rsidRDefault="00A07A52" w:rsidP="00395664">
                      <w:r w:rsidRPr="00676B53">
                        <w:t xml:space="preserve">Framleiðandi lýsir því yfir að hann uppfylli ákvæði </w:t>
                      </w:r>
                      <w:r>
                        <w:t xml:space="preserve">viðkomandi framleiðslustaðals </w:t>
                      </w:r>
                      <w:r w:rsidRPr="00676B53">
                        <w:t xml:space="preserve">um TT og FPC fyrir hverja efnisgerð </w:t>
                      </w:r>
                      <w:r>
                        <w:t>og hvaða eftirlits</w:t>
                      </w:r>
                      <w:r w:rsidRPr="00676B53">
                        <w:t>kerfi</w:t>
                      </w:r>
                      <w:r>
                        <w:t xml:space="preserve"> (e. System of AVCP)</w:t>
                      </w:r>
                      <w:r w:rsidRPr="00676B53">
                        <w:t xml:space="preserve"> á við (4 eða 2+)</w:t>
                      </w:r>
                      <w:r>
                        <w:t xml:space="preserve"> </w:t>
                      </w:r>
                      <w:r w:rsidRPr="00676B53">
                        <w:t>samkvæmt viðauka ZA</w:t>
                      </w:r>
                      <w:r>
                        <w:t xml:space="preserve"> í viðkomandi framleiðslustaðli.</w:t>
                      </w:r>
                      <w:r w:rsidRPr="00676B53">
                        <w:t xml:space="preserve"> </w:t>
                      </w:r>
                    </w:p>
                    <w:p w14:paraId="0730E748" w14:textId="77777777" w:rsidR="00A07A52" w:rsidRPr="00676B53" w:rsidRDefault="00A07A52" w:rsidP="007F609F">
                      <w:pPr>
                        <w:rPr>
                          <w:b/>
                        </w:rPr>
                      </w:pPr>
                      <w:r w:rsidRPr="00676B53">
                        <w:rPr>
                          <w:b/>
                        </w:rPr>
                        <w:t>CE merking:</w:t>
                      </w:r>
                    </w:p>
                    <w:p w14:paraId="7A255B11" w14:textId="70758966" w:rsidR="00A07A52" w:rsidRPr="00676B53" w:rsidRDefault="00A07A52" w:rsidP="007F609F">
                      <w:r w:rsidRPr="00676B53">
                        <w:t>Á grundvelli yfirlýsingar</w:t>
                      </w:r>
                      <w:r>
                        <w:t xml:space="preserve"> um eiginleika steinefna (e. Declaration of Performance, DoP)</w:t>
                      </w:r>
                      <w:r w:rsidRPr="00676B53">
                        <w:t>,</w:t>
                      </w:r>
                      <w:r>
                        <w:t xml:space="preserve"> sem er byggð á</w:t>
                      </w:r>
                      <w:r w:rsidRPr="00676B53">
                        <w:t xml:space="preserve"> gerðarpróf</w:t>
                      </w:r>
                      <w:r>
                        <w:t>unum</w:t>
                      </w:r>
                      <w:r w:rsidRPr="00676B53">
                        <w:t xml:space="preserve"> og framleiðslueftirlit</w:t>
                      </w:r>
                      <w:r>
                        <w:t>i</w:t>
                      </w:r>
                      <w:r w:rsidRPr="00676B53">
                        <w:t xml:space="preserve"> getur framleiðandi gefið út CE merkingu fyrir hverja efnisgerð. Í CE merkingu kemur m.a. fram hvaða eiginleika efnisgerð hefur samkvæmt niðurstöðum prófana í samræmi við viðkomandi framleiðslustaðal.</w:t>
                      </w:r>
                    </w:p>
                  </w:txbxContent>
                </v:textbox>
                <w10:anchorlock/>
              </v:shape>
            </w:pict>
          </mc:Fallback>
        </mc:AlternateContent>
      </w:r>
    </w:p>
    <w:p w14:paraId="19812653" w14:textId="77777777" w:rsidR="00BF73BD" w:rsidRDefault="00BF73BD" w:rsidP="004E4DC1">
      <w:pPr>
        <w:jc w:val="both"/>
      </w:pPr>
    </w:p>
    <w:p w14:paraId="0AA80676" w14:textId="4C7CECF1" w:rsidR="004E4DC1" w:rsidRDefault="00C33629" w:rsidP="004E4DC1">
      <w:pPr>
        <w:ind w:firstLine="360"/>
        <w:jc w:val="both"/>
      </w:pPr>
      <w:r>
        <w:t xml:space="preserve">Fylgistaðall fyrir framleiðslu steinefna, ÍST 76, </w:t>
      </w:r>
      <w:r w:rsidR="0058613A">
        <w:t>var</w:t>
      </w:r>
      <w:r w:rsidR="00373A02">
        <w:t xml:space="preserve"> </w:t>
      </w:r>
      <w:r>
        <w:t>gefinn út</w:t>
      </w:r>
      <w:r w:rsidR="0058613A">
        <w:t xml:space="preserve"> í lok árs 2013</w:t>
      </w:r>
      <w:r>
        <w:t xml:space="preserve"> af Staðlaráði Íslands </w:t>
      </w:r>
      <w:r w:rsidR="0069772B" w:rsidRPr="003400D2">
        <w:t>til þess að innleiðing Evrópustaðla á steinefnasviðinu gangi hnökralaust f</w:t>
      </w:r>
      <w:r w:rsidR="0069772B">
        <w:t>yrir sig</w:t>
      </w:r>
      <w:r w:rsidR="00714086">
        <w:t xml:space="preserve"> og ekki fari milli mála hvaða prófunaraðferðir beri að nota við framleiðslu steinefna</w:t>
      </w:r>
      <w:r w:rsidR="0069772B">
        <w:t xml:space="preserve">. </w:t>
      </w:r>
      <w:r w:rsidR="009625FE">
        <w:t>Fylgistaðallin</w:t>
      </w:r>
      <w:r w:rsidR="00923270">
        <w:t>n</w:t>
      </w:r>
      <w:r w:rsidR="009625FE">
        <w:t xml:space="preserve"> </w:t>
      </w:r>
      <w:r w:rsidR="00623155">
        <w:t>var</w:t>
      </w:r>
      <w:r w:rsidR="009625FE">
        <w:t xml:space="preserve"> samin</w:t>
      </w:r>
      <w:r w:rsidR="0058613A">
        <w:t>n</w:t>
      </w:r>
      <w:r w:rsidR="009625FE">
        <w:t xml:space="preserve"> í</w:t>
      </w:r>
      <w:r w:rsidR="0069772B" w:rsidRPr="003400D2">
        <w:t xml:space="preserve"> sam</w:t>
      </w:r>
      <w:r w:rsidR="009625FE">
        <w:t>ráði</w:t>
      </w:r>
      <w:r w:rsidR="0069772B" w:rsidRPr="003400D2">
        <w:t xml:space="preserve"> framleiðend</w:t>
      </w:r>
      <w:r w:rsidR="009625FE">
        <w:t>a,</w:t>
      </w:r>
      <w:r w:rsidR="0069772B" w:rsidRPr="003400D2">
        <w:t xml:space="preserve"> kaupenda steinefna og prófanastofa, t.d. hvað varðar val á prófunaraðferðum sem nota skal </w:t>
      </w:r>
      <w:r w:rsidR="009625FE">
        <w:t xml:space="preserve">hérlendis </w:t>
      </w:r>
      <w:r w:rsidR="0069772B" w:rsidRPr="003400D2">
        <w:t>til mælinga á eiginleikum steinefna til mismunandi nota.</w:t>
      </w:r>
      <w:r w:rsidR="00623155">
        <w:t xml:space="preserve"> Fylgistaðallinn </w:t>
      </w:r>
      <w:r w:rsidR="00E5515E">
        <w:t>þarfnast</w:t>
      </w:r>
      <w:r w:rsidR="00623155">
        <w:t xml:space="preserve"> endurskoð</w:t>
      </w:r>
      <w:r w:rsidR="00E5515E">
        <w:t>unar</w:t>
      </w:r>
      <w:r w:rsidR="00623155">
        <w:t xml:space="preserve"> með tilliti til breytinga á framleiðslustöðlunum fyrir steinefni</w:t>
      </w:r>
      <w:r w:rsidR="00E5515E">
        <w:t xml:space="preserve"> en sú endurskoðun verður að bíða eftir formlegri útgáfu staðlanna</w:t>
      </w:r>
      <w:r w:rsidR="00623155">
        <w:t>.</w:t>
      </w:r>
    </w:p>
    <w:p w14:paraId="6B0C9B35" w14:textId="0FF5A822" w:rsidR="004E4DC1" w:rsidRPr="004E4DC1" w:rsidRDefault="004D2D7F" w:rsidP="00957EE6">
      <w:pPr>
        <w:ind w:firstLine="360"/>
        <w:jc w:val="both"/>
      </w:pPr>
      <w:r w:rsidRPr="004E4DC1">
        <w:t>Evrópustaðlar um prófanir og framleiðslu steinefna gera ráð fyrir að</w:t>
      </w:r>
      <w:r w:rsidR="002119E4">
        <w:t xml:space="preserve"> gerðarprófanir liggi fyrir og að</w:t>
      </w:r>
      <w:r w:rsidRPr="004E4DC1">
        <w:t xml:space="preserve"> viðhaft sé framleiðslueftirlit með efnisflokkum og að yfirlýsing</w:t>
      </w:r>
      <w:r w:rsidR="002850CF">
        <w:t xml:space="preserve"> um </w:t>
      </w:r>
      <w:r w:rsidR="00951B19">
        <w:t>m</w:t>
      </w:r>
      <w:r w:rsidR="00951B19" w:rsidRPr="00951B19">
        <w:t>at og staðfesting</w:t>
      </w:r>
      <w:r w:rsidR="00951B19">
        <w:t>u</w:t>
      </w:r>
      <w:r w:rsidR="00951B19" w:rsidRPr="00951B19">
        <w:t xml:space="preserve"> á gæðastöðugleika steinefna </w:t>
      </w:r>
      <w:r w:rsidRPr="004E4DC1">
        <w:t>liggi fyrir um hver</w:t>
      </w:r>
      <w:r w:rsidR="002850CF">
        <w:t>ja</w:t>
      </w:r>
      <w:r w:rsidRPr="004E4DC1">
        <w:t xml:space="preserve"> </w:t>
      </w:r>
      <w:r w:rsidR="00C646F1" w:rsidRPr="004E4DC1">
        <w:t>efnisgerð</w:t>
      </w:r>
      <w:r w:rsidRPr="004E4DC1">
        <w:t>. Misjafnt getur verið hvaða prófanir eru gerðar, eftir því hver lokaafurðin verður (t.</w:t>
      </w:r>
      <w:r w:rsidR="00EB4410">
        <w:t>d. steinefni í malbik, steypu</w:t>
      </w:r>
      <w:r w:rsidRPr="004E4DC1">
        <w:t xml:space="preserve"> eða óbundið</w:t>
      </w:r>
      <w:r w:rsidR="009A420D">
        <w:t xml:space="preserve"> steinefni</w:t>
      </w:r>
      <w:r w:rsidRPr="004E4DC1">
        <w:t>)</w:t>
      </w:r>
      <w:r w:rsidR="00C646F1" w:rsidRPr="004E4DC1">
        <w:t xml:space="preserve"> en </w:t>
      </w:r>
      <w:r w:rsidR="00CB3682">
        <w:t xml:space="preserve">unnið hefur verið að </w:t>
      </w:r>
      <w:r w:rsidR="00C646F1" w:rsidRPr="004E4DC1">
        <w:t>samræming</w:t>
      </w:r>
      <w:r w:rsidR="00CB3682">
        <w:t>u</w:t>
      </w:r>
      <w:r w:rsidR="00C646F1" w:rsidRPr="004E4DC1">
        <w:t xml:space="preserve"> </w:t>
      </w:r>
      <w:r w:rsidR="009A420D">
        <w:t>viðkomandi</w:t>
      </w:r>
      <w:r w:rsidR="009A420D" w:rsidRPr="004E4DC1">
        <w:t xml:space="preserve"> </w:t>
      </w:r>
      <w:r w:rsidR="00C646F1" w:rsidRPr="004E4DC1">
        <w:t>framleiðslustaðla</w:t>
      </w:r>
      <w:r w:rsidR="00CB3682">
        <w:t xml:space="preserve"> að hluta.</w:t>
      </w:r>
      <w:r w:rsidR="00C646F1" w:rsidRPr="004E4DC1">
        <w:t xml:space="preserve"> </w:t>
      </w:r>
      <w:r w:rsidR="009A420D">
        <w:t>Y</w:t>
      </w:r>
      <w:r w:rsidR="009A420D" w:rsidRPr="004E4DC1">
        <w:t>firlýsingar</w:t>
      </w:r>
      <w:r w:rsidR="009A420D">
        <w:t xml:space="preserve"> um eiginleika steinefna (</w:t>
      </w:r>
      <w:r w:rsidR="00623155">
        <w:t xml:space="preserve">e. </w:t>
      </w:r>
      <w:r w:rsidR="009A420D">
        <w:t>DoP)</w:t>
      </w:r>
      <w:r w:rsidR="009A420D" w:rsidRPr="004E4DC1">
        <w:t xml:space="preserve"> </w:t>
      </w:r>
      <w:r w:rsidRPr="004E4DC1">
        <w:t xml:space="preserve">eru gefnar út af framleiðanda og á ábyrgð hans og </w:t>
      </w:r>
      <w:r w:rsidR="009625FE">
        <w:t>gerir</w:t>
      </w:r>
      <w:r w:rsidR="009625FE" w:rsidRPr="004E4DC1">
        <w:t xml:space="preserve"> </w:t>
      </w:r>
      <w:r w:rsidRPr="004E4DC1">
        <w:t xml:space="preserve">Vegagerðin </w:t>
      </w:r>
      <w:r w:rsidR="009625FE">
        <w:t xml:space="preserve">kröfu um </w:t>
      </w:r>
      <w:r w:rsidRPr="004E4DC1">
        <w:t xml:space="preserve">að slíkar lýsingar liggi fyrir, byggðar á </w:t>
      </w:r>
      <w:r w:rsidR="002850CF">
        <w:t>gerðar</w:t>
      </w:r>
      <w:r w:rsidR="002850CF" w:rsidRPr="004E4DC1">
        <w:t xml:space="preserve">prófunum </w:t>
      </w:r>
      <w:r w:rsidRPr="004E4DC1">
        <w:t>og framleiðslueftirliti</w:t>
      </w:r>
      <w:r w:rsidR="00EB4410">
        <w:t>,</w:t>
      </w:r>
      <w:r w:rsidRPr="004E4DC1">
        <w:t xml:space="preserve"> í samræmi við evrópska staðla</w:t>
      </w:r>
      <w:r w:rsidR="00D27825" w:rsidRPr="004E4DC1">
        <w:t xml:space="preserve"> þegar </w:t>
      </w:r>
      <w:r w:rsidR="006068B0" w:rsidRPr="004E4DC1">
        <w:t>um er að ræða</w:t>
      </w:r>
      <w:r w:rsidR="00D27825" w:rsidRPr="004E4DC1">
        <w:t xml:space="preserve"> steinefni </w:t>
      </w:r>
      <w:r w:rsidR="006068B0" w:rsidRPr="004E4DC1">
        <w:t>sem</w:t>
      </w:r>
      <w:r w:rsidR="00D27825" w:rsidRPr="004E4DC1">
        <w:t xml:space="preserve"> framlei</w:t>
      </w:r>
      <w:r w:rsidR="006068B0" w:rsidRPr="004E4DC1">
        <w:t>tt</w:t>
      </w:r>
      <w:r w:rsidR="00D27825" w:rsidRPr="004E4DC1">
        <w:t xml:space="preserve"> </w:t>
      </w:r>
      <w:r w:rsidR="006068B0" w:rsidRPr="004E4DC1">
        <w:t xml:space="preserve">er </w:t>
      </w:r>
      <w:r w:rsidR="00D27825" w:rsidRPr="004E4DC1">
        <w:t>á markað</w:t>
      </w:r>
      <w:r w:rsidRPr="004E4DC1">
        <w:t>.</w:t>
      </w:r>
      <w:r w:rsidR="003431E6" w:rsidRPr="004E4DC1">
        <w:t xml:space="preserve"> </w:t>
      </w:r>
    </w:p>
    <w:p w14:paraId="5DAB1EE3" w14:textId="77777777" w:rsidR="00851CEA" w:rsidRPr="004D2D7F" w:rsidRDefault="0087740E" w:rsidP="004E4DC1">
      <w:pPr>
        <w:pStyle w:val="Heading2"/>
      </w:pPr>
      <w:bookmarkStart w:id="18" w:name="_Toc52971434"/>
      <w:r>
        <w:t>P</w:t>
      </w:r>
      <w:r w:rsidR="004D5085">
        <w:t>rófanir</w:t>
      </w:r>
      <w:r w:rsidR="00DC7C9B">
        <w:t xml:space="preserve"> </w:t>
      </w:r>
      <w:r>
        <w:t>vegna efnistöku utan markaðar</w:t>
      </w:r>
      <w:bookmarkEnd w:id="18"/>
      <w:r>
        <w:t xml:space="preserve"> </w:t>
      </w:r>
    </w:p>
    <w:p w14:paraId="08CCD431" w14:textId="3F12064D" w:rsidR="003431E6" w:rsidRPr="004D2D7F" w:rsidRDefault="00D76E64" w:rsidP="00E6134D">
      <w:pPr>
        <w:ind w:firstLine="284"/>
        <w:jc w:val="both"/>
      </w:pPr>
      <w:r>
        <w:t xml:space="preserve">Ef um </w:t>
      </w:r>
      <w:r w:rsidR="000A30FF">
        <w:t>efni</w:t>
      </w:r>
      <w:r>
        <w:t xml:space="preserve">stöku er að ræða á </w:t>
      </w:r>
      <w:r w:rsidR="0087740E">
        <w:t>vegagerðar</w:t>
      </w:r>
      <w:r>
        <w:t>efni</w:t>
      </w:r>
      <w:r w:rsidR="000A30FF">
        <w:t xml:space="preserve"> sem ekki er </w:t>
      </w:r>
      <w:r w:rsidR="006068B0">
        <w:t xml:space="preserve">framleitt undir framleiðslueftirliti </w:t>
      </w:r>
      <w:r w:rsidR="00714086">
        <w:t>og ber ekki yfirlýsingu</w:t>
      </w:r>
      <w:r w:rsidR="00327590">
        <w:t xml:space="preserve"> um eiginleika</w:t>
      </w:r>
      <w:r w:rsidR="00DC5D01">
        <w:t xml:space="preserve"> (</w:t>
      </w:r>
      <w:r w:rsidR="00623155">
        <w:t xml:space="preserve">e. </w:t>
      </w:r>
      <w:r w:rsidR="00DC5D01">
        <w:t>DoP)</w:t>
      </w:r>
      <w:r w:rsidR="00714086">
        <w:t>,</w:t>
      </w:r>
      <w:r w:rsidR="00C62316">
        <w:t xml:space="preserve"> </w:t>
      </w:r>
      <w:r>
        <w:t>skal gera prófanir</w:t>
      </w:r>
      <w:r w:rsidR="00FC00B2">
        <w:t xml:space="preserve"> </w:t>
      </w:r>
      <w:r>
        <w:t xml:space="preserve">samkvæmt töflu 2.1 </w:t>
      </w:r>
      <w:r w:rsidR="00DA5D1A">
        <w:t xml:space="preserve">á hönnunarstigi </w:t>
      </w:r>
      <w:r w:rsidR="00FC00B2">
        <w:t>og leggja fram niðurstöður þeirra</w:t>
      </w:r>
      <w:r w:rsidR="00851CEA">
        <w:t>.</w:t>
      </w:r>
      <w:r w:rsidR="003431E6">
        <w:t xml:space="preserve"> Ef framleiðandi uppfyllir þær kröfur sem settar eru fram í töflu </w:t>
      </w:r>
      <w:r w:rsidR="0087740E">
        <w:t xml:space="preserve">2.1 </w:t>
      </w:r>
      <w:r w:rsidR="003431E6">
        <w:t>telst hann jafnframt hafa uppfyllt skilyrði í meginköflum þessa rits um prófanir á hönnunarstigi.</w:t>
      </w:r>
      <w:r w:rsidR="0036797E">
        <w:t xml:space="preserve"> Bent skal á að í köflunum eru auk þess sérstök ákvæði Vegagerðarinnar um prófanir og tíðni prófana á framleiðslu- og framkvæmdastigi.</w:t>
      </w:r>
    </w:p>
    <w:p w14:paraId="34F51A97" w14:textId="77777777" w:rsidR="0081711A" w:rsidRDefault="0081711A" w:rsidP="004D2D7F">
      <w:pPr>
        <w:jc w:val="both"/>
        <w:rPr>
          <w:b/>
        </w:rPr>
      </w:pPr>
    </w:p>
    <w:p w14:paraId="2B066C1D" w14:textId="0A516D92" w:rsidR="00851CEA" w:rsidRDefault="00D76E64" w:rsidP="004D2D7F">
      <w:pPr>
        <w:jc w:val="both"/>
      </w:pPr>
      <w:r w:rsidRPr="00C7756C">
        <w:rPr>
          <w:b/>
        </w:rPr>
        <w:t>Tafla 2.1</w:t>
      </w:r>
      <w:r w:rsidR="00206832">
        <w:rPr>
          <w:b/>
        </w:rPr>
        <w:t>:</w:t>
      </w:r>
      <w:r>
        <w:t xml:space="preserve"> </w:t>
      </w:r>
      <w:r w:rsidR="0036797E">
        <w:t>P</w:t>
      </w:r>
      <w:r>
        <w:t xml:space="preserve">rófanir </w:t>
      </w:r>
      <w:r w:rsidR="0036797E">
        <w:t xml:space="preserve">á </w:t>
      </w:r>
      <w:r w:rsidR="00951B19">
        <w:t xml:space="preserve">steinefnum á </w:t>
      </w:r>
      <w:r w:rsidR="0036797E">
        <w:t xml:space="preserve">hönnunarstigi/í upphafi framleiðslu </w:t>
      </w:r>
      <w:r>
        <w:t>sem gera þarf á efni sem ekki er vottað sérstaklega</w:t>
      </w:r>
    </w:p>
    <w:p w14:paraId="306E4E9B" w14:textId="77777777" w:rsidR="000A30FF" w:rsidRDefault="000A30FF" w:rsidP="00851CEA"/>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215"/>
        <w:gridCol w:w="1108"/>
        <w:gridCol w:w="1297"/>
        <w:gridCol w:w="956"/>
        <w:gridCol w:w="849"/>
        <w:gridCol w:w="1308"/>
      </w:tblGrid>
      <w:tr w:rsidR="00CD5145" w:rsidRPr="00DC7C9B" w14:paraId="36229485" w14:textId="77777777" w:rsidTr="00CD5145">
        <w:tc>
          <w:tcPr>
            <w:tcW w:w="1617" w:type="dxa"/>
            <w:shd w:val="clear" w:color="auto" w:fill="DAEEF3" w:themeFill="accent5" w:themeFillTint="33"/>
          </w:tcPr>
          <w:p w14:paraId="12CA6162" w14:textId="77ADCAF2" w:rsidR="000A30FF" w:rsidRPr="00DC7C9B" w:rsidRDefault="00CD5145" w:rsidP="00FC00B2">
            <w:pPr>
              <w:jc w:val="center"/>
              <w:rPr>
                <w:rFonts w:ascii="Calibri" w:eastAsia="Calibri" w:hAnsi="Calibri"/>
                <w:b/>
                <w:sz w:val="22"/>
                <w:szCs w:val="22"/>
              </w:rPr>
            </w:pPr>
            <w:r>
              <w:rPr>
                <w:rFonts w:ascii="Calibri" w:eastAsia="Calibri" w:hAnsi="Calibri"/>
                <w:b/>
                <w:sz w:val="22"/>
                <w:szCs w:val="22"/>
              </w:rPr>
              <w:lastRenderedPageBreak/>
              <w:t>Prófunaraðferð</w:t>
            </w:r>
          </w:p>
        </w:tc>
        <w:tc>
          <w:tcPr>
            <w:tcW w:w="1209" w:type="dxa"/>
            <w:shd w:val="clear" w:color="auto" w:fill="DAEEF3" w:themeFill="accent5" w:themeFillTint="33"/>
          </w:tcPr>
          <w:p w14:paraId="7906B49B" w14:textId="45B35518" w:rsidR="000A30FF" w:rsidRPr="00DC7C9B" w:rsidRDefault="00CD5145" w:rsidP="00FC00B2">
            <w:pPr>
              <w:jc w:val="center"/>
              <w:rPr>
                <w:rFonts w:ascii="Calibri" w:eastAsia="Calibri" w:hAnsi="Calibri"/>
                <w:b/>
                <w:sz w:val="22"/>
                <w:szCs w:val="22"/>
              </w:rPr>
            </w:pPr>
            <w:r>
              <w:rPr>
                <w:rFonts w:ascii="Calibri" w:eastAsia="Calibri" w:hAnsi="Calibri"/>
                <w:b/>
                <w:sz w:val="22"/>
                <w:szCs w:val="22"/>
              </w:rPr>
              <w:t>S</w:t>
            </w:r>
            <w:r w:rsidR="000A30FF" w:rsidRPr="00DC7C9B">
              <w:rPr>
                <w:rFonts w:ascii="Calibri" w:eastAsia="Calibri" w:hAnsi="Calibri"/>
                <w:b/>
                <w:sz w:val="22"/>
                <w:szCs w:val="22"/>
              </w:rPr>
              <w:t>tyrktarlag</w:t>
            </w:r>
          </w:p>
        </w:tc>
        <w:tc>
          <w:tcPr>
            <w:tcW w:w="1103" w:type="dxa"/>
            <w:shd w:val="clear" w:color="auto" w:fill="DAEEF3" w:themeFill="accent5" w:themeFillTint="33"/>
          </w:tcPr>
          <w:p w14:paraId="114B8D81" w14:textId="6B378AE3" w:rsidR="000A30FF" w:rsidRPr="00DC7C9B" w:rsidRDefault="00CD5145" w:rsidP="00FC00B2">
            <w:pPr>
              <w:jc w:val="center"/>
              <w:rPr>
                <w:rFonts w:ascii="Calibri" w:eastAsia="Calibri" w:hAnsi="Calibri"/>
                <w:b/>
                <w:sz w:val="22"/>
                <w:szCs w:val="22"/>
              </w:rPr>
            </w:pPr>
            <w:r>
              <w:rPr>
                <w:rFonts w:ascii="Calibri" w:eastAsia="Calibri" w:hAnsi="Calibri"/>
                <w:b/>
                <w:sz w:val="22"/>
                <w:szCs w:val="22"/>
              </w:rPr>
              <w:t>B</w:t>
            </w:r>
            <w:r w:rsidR="000A30FF" w:rsidRPr="00DC7C9B">
              <w:rPr>
                <w:rFonts w:ascii="Calibri" w:eastAsia="Calibri" w:hAnsi="Calibri"/>
                <w:b/>
                <w:sz w:val="22"/>
                <w:szCs w:val="22"/>
              </w:rPr>
              <w:t>urðarlag</w:t>
            </w:r>
          </w:p>
        </w:tc>
        <w:tc>
          <w:tcPr>
            <w:tcW w:w="1291" w:type="dxa"/>
            <w:shd w:val="clear" w:color="auto" w:fill="DAEEF3" w:themeFill="accent5" w:themeFillTint="33"/>
          </w:tcPr>
          <w:p w14:paraId="1A80569F" w14:textId="18A13EB4" w:rsidR="000A30FF" w:rsidRPr="00DC7C9B" w:rsidRDefault="00CD5145" w:rsidP="00FC00B2">
            <w:pPr>
              <w:jc w:val="center"/>
              <w:rPr>
                <w:rFonts w:ascii="Calibri" w:eastAsia="Calibri" w:hAnsi="Calibri"/>
                <w:b/>
                <w:sz w:val="22"/>
                <w:szCs w:val="22"/>
              </w:rPr>
            </w:pPr>
            <w:r>
              <w:rPr>
                <w:rFonts w:ascii="Calibri" w:eastAsia="Calibri" w:hAnsi="Calibri"/>
                <w:b/>
                <w:sz w:val="22"/>
                <w:szCs w:val="22"/>
              </w:rPr>
              <w:t>M</w:t>
            </w:r>
            <w:r w:rsidR="000A30FF" w:rsidRPr="00DC7C9B">
              <w:rPr>
                <w:rFonts w:ascii="Calibri" w:eastAsia="Calibri" w:hAnsi="Calibri"/>
                <w:b/>
                <w:sz w:val="22"/>
                <w:szCs w:val="22"/>
              </w:rPr>
              <w:t>alarslitlag</w:t>
            </w:r>
          </w:p>
        </w:tc>
        <w:tc>
          <w:tcPr>
            <w:tcW w:w="952" w:type="dxa"/>
            <w:shd w:val="clear" w:color="auto" w:fill="DAEEF3" w:themeFill="accent5" w:themeFillTint="33"/>
          </w:tcPr>
          <w:p w14:paraId="4887D38C" w14:textId="034DB47C" w:rsidR="000A30FF" w:rsidRPr="00DC7C9B" w:rsidRDefault="00CD5145" w:rsidP="00FC00B2">
            <w:pPr>
              <w:jc w:val="center"/>
              <w:rPr>
                <w:rFonts w:ascii="Calibri" w:eastAsia="Calibri" w:hAnsi="Calibri"/>
                <w:b/>
                <w:sz w:val="22"/>
                <w:szCs w:val="22"/>
              </w:rPr>
            </w:pPr>
            <w:r>
              <w:rPr>
                <w:rFonts w:ascii="Calibri" w:eastAsia="Calibri" w:hAnsi="Calibri"/>
                <w:b/>
                <w:sz w:val="22"/>
                <w:szCs w:val="22"/>
              </w:rPr>
              <w:t>K</w:t>
            </w:r>
            <w:r w:rsidR="000A30FF" w:rsidRPr="00DC7C9B">
              <w:rPr>
                <w:rFonts w:ascii="Calibri" w:eastAsia="Calibri" w:hAnsi="Calibri"/>
                <w:b/>
                <w:sz w:val="22"/>
                <w:szCs w:val="22"/>
              </w:rPr>
              <w:t>læðing</w:t>
            </w:r>
          </w:p>
        </w:tc>
        <w:tc>
          <w:tcPr>
            <w:tcW w:w="845" w:type="dxa"/>
            <w:shd w:val="clear" w:color="auto" w:fill="DAEEF3" w:themeFill="accent5" w:themeFillTint="33"/>
          </w:tcPr>
          <w:p w14:paraId="1DCB8E22" w14:textId="59A1BE8C" w:rsidR="000A30FF" w:rsidRPr="00DC7C9B" w:rsidRDefault="00CD5145" w:rsidP="00FC00B2">
            <w:pPr>
              <w:jc w:val="center"/>
              <w:rPr>
                <w:rFonts w:ascii="Calibri" w:eastAsia="Calibri" w:hAnsi="Calibri"/>
                <w:b/>
                <w:sz w:val="22"/>
                <w:szCs w:val="22"/>
              </w:rPr>
            </w:pPr>
            <w:r>
              <w:rPr>
                <w:rFonts w:ascii="Calibri" w:eastAsia="Calibri" w:hAnsi="Calibri"/>
                <w:b/>
                <w:sz w:val="22"/>
                <w:szCs w:val="22"/>
              </w:rPr>
              <w:t>M</w:t>
            </w:r>
            <w:r w:rsidR="000A30FF" w:rsidRPr="00DC7C9B">
              <w:rPr>
                <w:rFonts w:ascii="Calibri" w:eastAsia="Calibri" w:hAnsi="Calibri"/>
                <w:b/>
                <w:sz w:val="22"/>
                <w:szCs w:val="22"/>
              </w:rPr>
              <w:t>albik</w:t>
            </w:r>
          </w:p>
        </w:tc>
        <w:tc>
          <w:tcPr>
            <w:tcW w:w="1342" w:type="dxa"/>
            <w:shd w:val="clear" w:color="auto" w:fill="DAEEF3" w:themeFill="accent5" w:themeFillTint="33"/>
          </w:tcPr>
          <w:p w14:paraId="251873E3" w14:textId="2D17DAED" w:rsidR="000A30FF" w:rsidRPr="00DC7C9B" w:rsidRDefault="00CD5145" w:rsidP="00FC00B2">
            <w:pPr>
              <w:jc w:val="center"/>
              <w:rPr>
                <w:rFonts w:ascii="Calibri" w:eastAsia="Calibri" w:hAnsi="Calibri"/>
                <w:b/>
                <w:sz w:val="22"/>
                <w:szCs w:val="22"/>
              </w:rPr>
            </w:pPr>
            <w:r>
              <w:rPr>
                <w:rFonts w:ascii="Calibri" w:eastAsia="Calibri" w:hAnsi="Calibri"/>
                <w:b/>
                <w:sz w:val="22"/>
                <w:szCs w:val="22"/>
              </w:rPr>
              <w:t>Stein</w:t>
            </w:r>
            <w:r w:rsidR="002E134D" w:rsidRPr="00DC7C9B">
              <w:rPr>
                <w:rFonts w:ascii="Calibri" w:eastAsia="Calibri" w:hAnsi="Calibri"/>
                <w:b/>
                <w:sz w:val="22"/>
                <w:szCs w:val="22"/>
              </w:rPr>
              <w:t>s</w:t>
            </w:r>
            <w:r w:rsidR="000A30FF" w:rsidRPr="00DC7C9B">
              <w:rPr>
                <w:rFonts w:ascii="Calibri" w:eastAsia="Calibri" w:hAnsi="Calibri"/>
                <w:b/>
                <w:sz w:val="22"/>
                <w:szCs w:val="22"/>
              </w:rPr>
              <w:t>teypa</w:t>
            </w:r>
          </w:p>
        </w:tc>
      </w:tr>
      <w:tr w:rsidR="00CD5145" w:rsidRPr="0074266C" w14:paraId="516FC80B" w14:textId="77777777" w:rsidTr="00CD5145">
        <w:tc>
          <w:tcPr>
            <w:tcW w:w="1617" w:type="dxa"/>
            <w:shd w:val="clear" w:color="auto" w:fill="DAEEF3" w:themeFill="accent5" w:themeFillTint="33"/>
          </w:tcPr>
          <w:p w14:paraId="67A88FFA" w14:textId="77777777" w:rsidR="002E134D" w:rsidRPr="00D14BC4" w:rsidRDefault="002E134D" w:rsidP="000F2EB7">
            <w:pPr>
              <w:spacing w:line="280" w:lineRule="atLeast"/>
              <w:rPr>
                <w:rFonts w:ascii="Arial" w:hAnsi="Arial"/>
                <w:i/>
                <w:sz w:val="18"/>
                <w:szCs w:val="18"/>
              </w:rPr>
            </w:pPr>
            <w:r w:rsidRPr="00D14BC4">
              <w:rPr>
                <w:rFonts w:ascii="Arial" w:hAnsi="Arial"/>
                <w:i/>
                <w:sz w:val="18"/>
                <w:szCs w:val="18"/>
              </w:rPr>
              <w:t>Kornadreifing</w:t>
            </w:r>
          </w:p>
        </w:tc>
        <w:tc>
          <w:tcPr>
            <w:tcW w:w="1209" w:type="dxa"/>
            <w:shd w:val="clear" w:color="auto" w:fill="FDE9D9" w:themeFill="accent6" w:themeFillTint="33"/>
          </w:tcPr>
          <w:p w14:paraId="48A8459B" w14:textId="77777777" w:rsidR="002E134D" w:rsidRPr="0074266C" w:rsidRDefault="002E134D" w:rsidP="002E134D">
            <w:pPr>
              <w:jc w:val="center"/>
              <w:rPr>
                <w:rFonts w:ascii="Calibri" w:eastAsia="Calibri" w:hAnsi="Calibri"/>
                <w:sz w:val="22"/>
                <w:szCs w:val="22"/>
              </w:rPr>
            </w:pPr>
            <w:r>
              <w:rPr>
                <w:rFonts w:ascii="Calibri" w:eastAsia="Calibri" w:hAnsi="Calibri"/>
                <w:sz w:val="22"/>
                <w:szCs w:val="22"/>
              </w:rPr>
              <w:t>x</w:t>
            </w:r>
          </w:p>
        </w:tc>
        <w:tc>
          <w:tcPr>
            <w:tcW w:w="1103" w:type="dxa"/>
            <w:shd w:val="clear" w:color="auto" w:fill="FDE9D9" w:themeFill="accent6" w:themeFillTint="33"/>
          </w:tcPr>
          <w:p w14:paraId="7A8338B3" w14:textId="77777777" w:rsidR="002E134D" w:rsidRPr="0074266C" w:rsidRDefault="002E134D" w:rsidP="002E134D">
            <w:pPr>
              <w:jc w:val="center"/>
              <w:rPr>
                <w:rFonts w:ascii="Calibri" w:eastAsia="Calibri" w:hAnsi="Calibri"/>
                <w:sz w:val="22"/>
                <w:szCs w:val="22"/>
              </w:rPr>
            </w:pPr>
            <w:r>
              <w:rPr>
                <w:rFonts w:ascii="Calibri" w:eastAsia="Calibri" w:hAnsi="Calibri"/>
                <w:sz w:val="22"/>
                <w:szCs w:val="22"/>
              </w:rPr>
              <w:t>x</w:t>
            </w:r>
          </w:p>
        </w:tc>
        <w:tc>
          <w:tcPr>
            <w:tcW w:w="1291" w:type="dxa"/>
            <w:shd w:val="clear" w:color="auto" w:fill="FDE9D9" w:themeFill="accent6" w:themeFillTint="33"/>
          </w:tcPr>
          <w:p w14:paraId="172332BA" w14:textId="77777777" w:rsidR="002E134D" w:rsidRPr="0074266C" w:rsidRDefault="002E134D" w:rsidP="002E134D">
            <w:pPr>
              <w:jc w:val="center"/>
              <w:rPr>
                <w:rFonts w:ascii="Calibri" w:eastAsia="Calibri" w:hAnsi="Calibri"/>
                <w:sz w:val="22"/>
                <w:szCs w:val="22"/>
              </w:rPr>
            </w:pPr>
            <w:r>
              <w:rPr>
                <w:rFonts w:ascii="Calibri" w:eastAsia="Calibri" w:hAnsi="Calibri"/>
                <w:sz w:val="22"/>
                <w:szCs w:val="22"/>
              </w:rPr>
              <w:t>x</w:t>
            </w:r>
          </w:p>
        </w:tc>
        <w:tc>
          <w:tcPr>
            <w:tcW w:w="952" w:type="dxa"/>
            <w:shd w:val="clear" w:color="auto" w:fill="FDE9D9" w:themeFill="accent6" w:themeFillTint="33"/>
          </w:tcPr>
          <w:p w14:paraId="3C5DBB40" w14:textId="77777777" w:rsidR="002E134D" w:rsidRPr="0074266C" w:rsidRDefault="002E134D" w:rsidP="002E134D">
            <w:pPr>
              <w:jc w:val="center"/>
              <w:rPr>
                <w:rFonts w:ascii="Calibri" w:eastAsia="Calibri" w:hAnsi="Calibri"/>
                <w:sz w:val="22"/>
                <w:szCs w:val="22"/>
              </w:rPr>
            </w:pPr>
            <w:r>
              <w:rPr>
                <w:rFonts w:ascii="Calibri" w:eastAsia="Calibri" w:hAnsi="Calibri"/>
                <w:sz w:val="22"/>
                <w:szCs w:val="22"/>
              </w:rPr>
              <w:t>x</w:t>
            </w:r>
          </w:p>
        </w:tc>
        <w:tc>
          <w:tcPr>
            <w:tcW w:w="845" w:type="dxa"/>
            <w:shd w:val="clear" w:color="auto" w:fill="FDE9D9" w:themeFill="accent6" w:themeFillTint="33"/>
          </w:tcPr>
          <w:p w14:paraId="72E54A22" w14:textId="77777777" w:rsidR="002E134D" w:rsidRPr="0074266C" w:rsidRDefault="002E134D"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6159E9EB" w14:textId="77777777" w:rsidR="002E134D" w:rsidRPr="0074266C" w:rsidRDefault="002E134D" w:rsidP="002E134D">
            <w:pPr>
              <w:jc w:val="center"/>
              <w:rPr>
                <w:rFonts w:ascii="Calibri" w:eastAsia="Calibri" w:hAnsi="Calibri"/>
                <w:sz w:val="22"/>
                <w:szCs w:val="22"/>
              </w:rPr>
            </w:pPr>
            <w:r>
              <w:rPr>
                <w:rFonts w:ascii="Calibri" w:eastAsia="Calibri" w:hAnsi="Calibri"/>
                <w:sz w:val="22"/>
                <w:szCs w:val="22"/>
              </w:rPr>
              <w:t>x</w:t>
            </w:r>
          </w:p>
        </w:tc>
      </w:tr>
      <w:tr w:rsidR="00CD5145" w:rsidRPr="0074266C" w14:paraId="7379E079" w14:textId="77777777" w:rsidTr="00CD5145">
        <w:tc>
          <w:tcPr>
            <w:tcW w:w="1617" w:type="dxa"/>
            <w:shd w:val="clear" w:color="auto" w:fill="DAEEF3" w:themeFill="accent5" w:themeFillTint="33"/>
          </w:tcPr>
          <w:p w14:paraId="485A2882" w14:textId="77777777" w:rsidR="002E134D" w:rsidRPr="00D14BC4" w:rsidRDefault="002E134D" w:rsidP="000F2EB7">
            <w:pPr>
              <w:spacing w:line="280" w:lineRule="atLeast"/>
              <w:rPr>
                <w:rFonts w:ascii="Arial" w:hAnsi="Arial"/>
                <w:i/>
                <w:sz w:val="18"/>
                <w:szCs w:val="18"/>
              </w:rPr>
            </w:pPr>
            <w:r w:rsidRPr="00D14BC4">
              <w:rPr>
                <w:rFonts w:ascii="Arial" w:hAnsi="Arial"/>
                <w:i/>
                <w:sz w:val="18"/>
                <w:szCs w:val="18"/>
              </w:rPr>
              <w:t>Fínefnainnihald</w:t>
            </w:r>
          </w:p>
        </w:tc>
        <w:tc>
          <w:tcPr>
            <w:tcW w:w="1209" w:type="dxa"/>
            <w:shd w:val="clear" w:color="auto" w:fill="FDE9D9" w:themeFill="accent6" w:themeFillTint="33"/>
          </w:tcPr>
          <w:p w14:paraId="45D0ED40" w14:textId="77777777" w:rsidR="002E134D" w:rsidRPr="0074266C" w:rsidRDefault="002E134D" w:rsidP="002E134D">
            <w:pPr>
              <w:jc w:val="center"/>
              <w:rPr>
                <w:rFonts w:ascii="Calibri" w:eastAsia="Calibri" w:hAnsi="Calibri"/>
                <w:sz w:val="22"/>
                <w:szCs w:val="22"/>
              </w:rPr>
            </w:pPr>
            <w:r>
              <w:rPr>
                <w:rFonts w:ascii="Calibri" w:eastAsia="Calibri" w:hAnsi="Calibri"/>
                <w:sz w:val="22"/>
                <w:szCs w:val="22"/>
              </w:rPr>
              <w:t>x</w:t>
            </w:r>
          </w:p>
        </w:tc>
        <w:tc>
          <w:tcPr>
            <w:tcW w:w="1103" w:type="dxa"/>
            <w:shd w:val="clear" w:color="auto" w:fill="FDE9D9" w:themeFill="accent6" w:themeFillTint="33"/>
          </w:tcPr>
          <w:p w14:paraId="7B2A8AE9" w14:textId="77777777" w:rsidR="002E134D" w:rsidRPr="0074266C" w:rsidRDefault="002E134D" w:rsidP="002E134D">
            <w:pPr>
              <w:jc w:val="center"/>
              <w:rPr>
                <w:rFonts w:ascii="Calibri" w:eastAsia="Calibri" w:hAnsi="Calibri"/>
                <w:sz w:val="22"/>
                <w:szCs w:val="22"/>
              </w:rPr>
            </w:pPr>
            <w:r>
              <w:rPr>
                <w:rFonts w:ascii="Calibri" w:eastAsia="Calibri" w:hAnsi="Calibri"/>
                <w:sz w:val="22"/>
                <w:szCs w:val="22"/>
              </w:rPr>
              <w:t>x</w:t>
            </w:r>
          </w:p>
        </w:tc>
        <w:tc>
          <w:tcPr>
            <w:tcW w:w="1291" w:type="dxa"/>
            <w:shd w:val="clear" w:color="auto" w:fill="FDE9D9" w:themeFill="accent6" w:themeFillTint="33"/>
          </w:tcPr>
          <w:p w14:paraId="2A20049B" w14:textId="77777777" w:rsidR="002E134D" w:rsidRPr="0074266C" w:rsidRDefault="002E134D" w:rsidP="002E134D">
            <w:pPr>
              <w:jc w:val="center"/>
              <w:rPr>
                <w:rFonts w:ascii="Calibri" w:eastAsia="Calibri" w:hAnsi="Calibri"/>
                <w:sz w:val="22"/>
                <w:szCs w:val="22"/>
              </w:rPr>
            </w:pPr>
            <w:r>
              <w:rPr>
                <w:rFonts w:ascii="Calibri" w:eastAsia="Calibri" w:hAnsi="Calibri"/>
                <w:sz w:val="22"/>
                <w:szCs w:val="22"/>
              </w:rPr>
              <w:t>x</w:t>
            </w:r>
          </w:p>
        </w:tc>
        <w:tc>
          <w:tcPr>
            <w:tcW w:w="952" w:type="dxa"/>
            <w:shd w:val="clear" w:color="auto" w:fill="FDE9D9" w:themeFill="accent6" w:themeFillTint="33"/>
          </w:tcPr>
          <w:p w14:paraId="295D80CE" w14:textId="77777777" w:rsidR="002E134D" w:rsidRPr="0074266C" w:rsidRDefault="002E134D" w:rsidP="002E134D">
            <w:pPr>
              <w:jc w:val="center"/>
              <w:rPr>
                <w:rFonts w:ascii="Calibri" w:eastAsia="Calibri" w:hAnsi="Calibri"/>
                <w:sz w:val="22"/>
                <w:szCs w:val="22"/>
              </w:rPr>
            </w:pPr>
            <w:r>
              <w:rPr>
                <w:rFonts w:ascii="Calibri" w:eastAsia="Calibri" w:hAnsi="Calibri"/>
                <w:sz w:val="22"/>
                <w:szCs w:val="22"/>
              </w:rPr>
              <w:t>x</w:t>
            </w:r>
          </w:p>
        </w:tc>
        <w:tc>
          <w:tcPr>
            <w:tcW w:w="845" w:type="dxa"/>
            <w:shd w:val="clear" w:color="auto" w:fill="FDE9D9" w:themeFill="accent6" w:themeFillTint="33"/>
          </w:tcPr>
          <w:p w14:paraId="03233828" w14:textId="77777777" w:rsidR="002E134D" w:rsidRPr="0074266C" w:rsidRDefault="002E134D"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792DF76C" w14:textId="77777777" w:rsidR="002E134D" w:rsidRPr="0074266C" w:rsidRDefault="002E134D" w:rsidP="002E134D">
            <w:pPr>
              <w:jc w:val="center"/>
              <w:rPr>
                <w:rFonts w:ascii="Calibri" w:eastAsia="Calibri" w:hAnsi="Calibri"/>
                <w:sz w:val="22"/>
                <w:szCs w:val="22"/>
              </w:rPr>
            </w:pPr>
            <w:r>
              <w:rPr>
                <w:rFonts w:ascii="Calibri" w:eastAsia="Calibri" w:hAnsi="Calibri"/>
                <w:sz w:val="22"/>
                <w:szCs w:val="22"/>
              </w:rPr>
              <w:t>x</w:t>
            </w:r>
          </w:p>
        </w:tc>
      </w:tr>
      <w:tr w:rsidR="00D5459E" w:rsidRPr="0074266C" w14:paraId="7AB2D1DF" w14:textId="77777777" w:rsidTr="00CD5145">
        <w:tc>
          <w:tcPr>
            <w:tcW w:w="1617" w:type="dxa"/>
            <w:shd w:val="clear" w:color="auto" w:fill="DAEEF3" w:themeFill="accent5" w:themeFillTint="33"/>
          </w:tcPr>
          <w:p w14:paraId="25A564A4" w14:textId="7DA88391" w:rsidR="00376A3F" w:rsidRPr="00D14BC4" w:rsidRDefault="00376A3F" w:rsidP="00327590">
            <w:pPr>
              <w:spacing w:line="280" w:lineRule="atLeast"/>
              <w:rPr>
                <w:rFonts w:ascii="Arial" w:hAnsi="Arial"/>
                <w:i/>
                <w:sz w:val="18"/>
                <w:szCs w:val="18"/>
              </w:rPr>
            </w:pPr>
            <w:r w:rsidRPr="00D14BC4">
              <w:rPr>
                <w:rFonts w:ascii="Arial" w:hAnsi="Arial"/>
                <w:i/>
                <w:sz w:val="18"/>
                <w:szCs w:val="18"/>
              </w:rPr>
              <w:t>Gæði fínefna</w:t>
            </w:r>
            <w:r w:rsidR="00327590" w:rsidRPr="00DC5D01">
              <w:rPr>
                <w:rFonts w:ascii="Arial" w:hAnsi="Arial"/>
                <w:i/>
                <w:sz w:val="18"/>
                <w:szCs w:val="18"/>
                <w:vertAlign w:val="superscript"/>
              </w:rPr>
              <w:t>1</w:t>
            </w:r>
          </w:p>
        </w:tc>
        <w:tc>
          <w:tcPr>
            <w:tcW w:w="1209" w:type="dxa"/>
            <w:shd w:val="clear" w:color="auto" w:fill="FDE9D9" w:themeFill="accent6" w:themeFillTint="33"/>
          </w:tcPr>
          <w:p w14:paraId="5512A398" w14:textId="77777777" w:rsidR="00376A3F" w:rsidRPr="0074266C" w:rsidRDefault="00376A3F" w:rsidP="006D259E">
            <w:pPr>
              <w:jc w:val="center"/>
              <w:rPr>
                <w:rFonts w:ascii="Calibri" w:eastAsia="Calibri" w:hAnsi="Calibri"/>
                <w:sz w:val="22"/>
                <w:szCs w:val="22"/>
              </w:rPr>
            </w:pPr>
            <w:r>
              <w:rPr>
                <w:rFonts w:ascii="Calibri" w:eastAsia="Calibri" w:hAnsi="Calibri"/>
                <w:sz w:val="22"/>
                <w:szCs w:val="22"/>
              </w:rPr>
              <w:t>x</w:t>
            </w:r>
          </w:p>
        </w:tc>
        <w:tc>
          <w:tcPr>
            <w:tcW w:w="1103" w:type="dxa"/>
            <w:shd w:val="clear" w:color="auto" w:fill="FDE9D9" w:themeFill="accent6" w:themeFillTint="33"/>
          </w:tcPr>
          <w:p w14:paraId="471AEB04" w14:textId="77777777" w:rsidR="00376A3F" w:rsidRPr="0074266C" w:rsidRDefault="00376A3F" w:rsidP="006D259E">
            <w:pPr>
              <w:jc w:val="center"/>
              <w:rPr>
                <w:rFonts w:ascii="Calibri" w:eastAsia="Calibri" w:hAnsi="Calibri"/>
                <w:sz w:val="22"/>
                <w:szCs w:val="22"/>
              </w:rPr>
            </w:pPr>
            <w:r>
              <w:rPr>
                <w:rFonts w:ascii="Calibri" w:eastAsia="Calibri" w:hAnsi="Calibri"/>
                <w:sz w:val="22"/>
                <w:szCs w:val="22"/>
              </w:rPr>
              <w:t>x</w:t>
            </w:r>
          </w:p>
        </w:tc>
        <w:tc>
          <w:tcPr>
            <w:tcW w:w="1291" w:type="dxa"/>
            <w:shd w:val="clear" w:color="auto" w:fill="FDE9D9" w:themeFill="accent6" w:themeFillTint="33"/>
          </w:tcPr>
          <w:p w14:paraId="6EB6C866" w14:textId="77777777" w:rsidR="00376A3F" w:rsidRPr="0074266C" w:rsidRDefault="00376A3F" w:rsidP="006D259E">
            <w:pPr>
              <w:jc w:val="center"/>
              <w:rPr>
                <w:rFonts w:ascii="Calibri" w:eastAsia="Calibri" w:hAnsi="Calibri"/>
                <w:sz w:val="22"/>
                <w:szCs w:val="22"/>
              </w:rPr>
            </w:pPr>
            <w:r>
              <w:rPr>
                <w:rFonts w:ascii="Calibri" w:eastAsia="Calibri" w:hAnsi="Calibri"/>
                <w:sz w:val="22"/>
                <w:szCs w:val="22"/>
              </w:rPr>
              <w:t>x</w:t>
            </w:r>
          </w:p>
        </w:tc>
        <w:tc>
          <w:tcPr>
            <w:tcW w:w="952" w:type="dxa"/>
            <w:shd w:val="clear" w:color="auto" w:fill="FDE9D9" w:themeFill="accent6" w:themeFillTint="33"/>
          </w:tcPr>
          <w:p w14:paraId="7532E9FC" w14:textId="77777777" w:rsidR="00376A3F" w:rsidRPr="0074266C" w:rsidRDefault="00376A3F" w:rsidP="006D259E">
            <w:pPr>
              <w:jc w:val="center"/>
              <w:rPr>
                <w:rFonts w:ascii="Calibri" w:eastAsia="Calibri" w:hAnsi="Calibri"/>
                <w:sz w:val="22"/>
                <w:szCs w:val="22"/>
              </w:rPr>
            </w:pPr>
            <w:r>
              <w:rPr>
                <w:rFonts w:ascii="Calibri" w:eastAsia="Calibri" w:hAnsi="Calibri"/>
                <w:sz w:val="22"/>
                <w:szCs w:val="22"/>
              </w:rPr>
              <w:t>x</w:t>
            </w:r>
          </w:p>
        </w:tc>
        <w:tc>
          <w:tcPr>
            <w:tcW w:w="845" w:type="dxa"/>
            <w:shd w:val="clear" w:color="auto" w:fill="FDE9D9" w:themeFill="accent6" w:themeFillTint="33"/>
          </w:tcPr>
          <w:p w14:paraId="3D476F58" w14:textId="77777777" w:rsidR="00376A3F" w:rsidRPr="0074266C" w:rsidRDefault="00376A3F" w:rsidP="006D259E">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7887541D" w14:textId="075720BE" w:rsidR="00376A3F" w:rsidRPr="0074266C" w:rsidRDefault="00AA61A1" w:rsidP="006D259E">
            <w:pPr>
              <w:jc w:val="center"/>
              <w:rPr>
                <w:rFonts w:ascii="Calibri" w:eastAsia="Calibri" w:hAnsi="Calibri"/>
                <w:sz w:val="22"/>
                <w:szCs w:val="22"/>
              </w:rPr>
            </w:pPr>
            <w:r>
              <w:rPr>
                <w:rFonts w:ascii="Calibri" w:eastAsia="Calibri" w:hAnsi="Calibri"/>
                <w:sz w:val="22"/>
                <w:szCs w:val="22"/>
              </w:rPr>
              <w:t>x</w:t>
            </w:r>
          </w:p>
        </w:tc>
      </w:tr>
      <w:tr w:rsidR="00D5459E" w:rsidRPr="0074266C" w14:paraId="6812009A" w14:textId="77777777" w:rsidTr="00CD5145">
        <w:tc>
          <w:tcPr>
            <w:tcW w:w="1617" w:type="dxa"/>
            <w:shd w:val="clear" w:color="auto" w:fill="DAEEF3" w:themeFill="accent5" w:themeFillTint="33"/>
          </w:tcPr>
          <w:p w14:paraId="392A433C" w14:textId="70492A41" w:rsidR="00376A3F" w:rsidRPr="00D14BC4" w:rsidRDefault="00376A3F" w:rsidP="000F2EB7">
            <w:pPr>
              <w:spacing w:line="280" w:lineRule="atLeast"/>
              <w:rPr>
                <w:rFonts w:ascii="Arial" w:hAnsi="Arial"/>
                <w:i/>
                <w:sz w:val="18"/>
                <w:szCs w:val="18"/>
              </w:rPr>
            </w:pPr>
            <w:r w:rsidRPr="00D14BC4">
              <w:rPr>
                <w:rFonts w:ascii="Arial" w:hAnsi="Arial"/>
                <w:i/>
                <w:sz w:val="18"/>
                <w:szCs w:val="18"/>
              </w:rPr>
              <w:t>Lögun grófs steinefnis</w:t>
            </w:r>
            <w:r w:rsidR="00AE0776">
              <w:rPr>
                <w:rFonts w:ascii="Arial" w:hAnsi="Arial"/>
                <w:i/>
                <w:sz w:val="18"/>
                <w:szCs w:val="18"/>
              </w:rPr>
              <w:t xml:space="preserve"> (FI)</w:t>
            </w:r>
          </w:p>
        </w:tc>
        <w:tc>
          <w:tcPr>
            <w:tcW w:w="1209" w:type="dxa"/>
            <w:shd w:val="clear" w:color="auto" w:fill="FDE9D9" w:themeFill="accent6" w:themeFillTint="33"/>
          </w:tcPr>
          <w:p w14:paraId="25622BF1"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1103" w:type="dxa"/>
            <w:shd w:val="clear" w:color="auto" w:fill="FDE9D9" w:themeFill="accent6" w:themeFillTint="33"/>
          </w:tcPr>
          <w:p w14:paraId="423C798B"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291" w:type="dxa"/>
            <w:shd w:val="clear" w:color="auto" w:fill="FDE9D9" w:themeFill="accent6" w:themeFillTint="33"/>
          </w:tcPr>
          <w:p w14:paraId="250F9DCB"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952" w:type="dxa"/>
            <w:shd w:val="clear" w:color="auto" w:fill="FDE9D9" w:themeFill="accent6" w:themeFillTint="33"/>
          </w:tcPr>
          <w:p w14:paraId="6325357B"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845" w:type="dxa"/>
            <w:shd w:val="clear" w:color="auto" w:fill="FDE9D9" w:themeFill="accent6" w:themeFillTint="33"/>
          </w:tcPr>
          <w:p w14:paraId="2581AD7D"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7AE96D46"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r>
      <w:tr w:rsidR="00D5459E" w:rsidRPr="0074266C" w14:paraId="713574AA" w14:textId="77777777" w:rsidTr="00CD5145">
        <w:tc>
          <w:tcPr>
            <w:tcW w:w="1617" w:type="dxa"/>
            <w:shd w:val="clear" w:color="auto" w:fill="DAEEF3" w:themeFill="accent5" w:themeFillTint="33"/>
          </w:tcPr>
          <w:p w14:paraId="15ADFC9F" w14:textId="60036F1E" w:rsidR="00376A3F" w:rsidRPr="00D14BC4" w:rsidRDefault="00376A3F" w:rsidP="000F2EB7">
            <w:pPr>
              <w:spacing w:line="280" w:lineRule="atLeast"/>
              <w:rPr>
                <w:rFonts w:ascii="Arial" w:hAnsi="Arial"/>
                <w:i/>
                <w:sz w:val="18"/>
                <w:szCs w:val="18"/>
              </w:rPr>
            </w:pPr>
            <w:r w:rsidRPr="00D14BC4">
              <w:rPr>
                <w:rFonts w:ascii="Arial" w:hAnsi="Arial"/>
                <w:i/>
                <w:sz w:val="18"/>
                <w:szCs w:val="18"/>
              </w:rPr>
              <w:t>Hluti brotinna og rúnnaðra steinefna</w:t>
            </w:r>
            <w:r w:rsidR="00724948" w:rsidRPr="00724948">
              <w:rPr>
                <w:rFonts w:ascii="Arial" w:hAnsi="Arial"/>
                <w:i/>
                <w:sz w:val="18"/>
                <w:szCs w:val="18"/>
                <w:vertAlign w:val="superscript"/>
              </w:rPr>
              <w:t>4</w:t>
            </w:r>
          </w:p>
        </w:tc>
        <w:tc>
          <w:tcPr>
            <w:tcW w:w="1209" w:type="dxa"/>
            <w:shd w:val="clear" w:color="auto" w:fill="FDE9D9" w:themeFill="accent6" w:themeFillTint="33"/>
          </w:tcPr>
          <w:p w14:paraId="4EC13016"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1103" w:type="dxa"/>
            <w:shd w:val="clear" w:color="auto" w:fill="FDE9D9" w:themeFill="accent6" w:themeFillTint="33"/>
          </w:tcPr>
          <w:p w14:paraId="645E8B0A"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291" w:type="dxa"/>
            <w:shd w:val="clear" w:color="auto" w:fill="FDE9D9" w:themeFill="accent6" w:themeFillTint="33"/>
          </w:tcPr>
          <w:p w14:paraId="1A08F0AD"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952" w:type="dxa"/>
            <w:shd w:val="clear" w:color="auto" w:fill="FDE9D9" w:themeFill="accent6" w:themeFillTint="33"/>
          </w:tcPr>
          <w:p w14:paraId="6405E1DB"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845" w:type="dxa"/>
            <w:shd w:val="clear" w:color="auto" w:fill="FDE9D9" w:themeFill="accent6" w:themeFillTint="33"/>
          </w:tcPr>
          <w:p w14:paraId="50B67390"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027C2F76" w14:textId="348FD185" w:rsidR="00376A3F" w:rsidRPr="0074266C" w:rsidRDefault="00AE14AA" w:rsidP="002E134D">
            <w:pPr>
              <w:jc w:val="center"/>
              <w:rPr>
                <w:rFonts w:ascii="Calibri" w:eastAsia="Calibri" w:hAnsi="Calibri"/>
                <w:sz w:val="22"/>
                <w:szCs w:val="22"/>
              </w:rPr>
            </w:pPr>
            <w:r>
              <w:rPr>
                <w:rFonts w:ascii="Calibri" w:eastAsia="Calibri" w:hAnsi="Calibri"/>
                <w:sz w:val="22"/>
                <w:szCs w:val="22"/>
              </w:rPr>
              <w:t>x</w:t>
            </w:r>
            <w:r w:rsidR="00D545DB" w:rsidRPr="00D545DB">
              <w:rPr>
                <w:rFonts w:ascii="Calibri" w:eastAsia="Calibri" w:hAnsi="Calibri"/>
                <w:sz w:val="22"/>
                <w:szCs w:val="22"/>
                <w:vertAlign w:val="superscript"/>
              </w:rPr>
              <w:t>6</w:t>
            </w:r>
          </w:p>
        </w:tc>
      </w:tr>
      <w:tr w:rsidR="00D5459E" w:rsidRPr="0074266C" w14:paraId="6DE50BE0" w14:textId="77777777" w:rsidTr="00CD5145">
        <w:tc>
          <w:tcPr>
            <w:tcW w:w="1617" w:type="dxa"/>
            <w:shd w:val="clear" w:color="auto" w:fill="DAEEF3" w:themeFill="accent5" w:themeFillTint="33"/>
          </w:tcPr>
          <w:p w14:paraId="2AC9A3CF" w14:textId="77777777" w:rsidR="00376A3F" w:rsidRPr="00D14BC4" w:rsidRDefault="00376A3F" w:rsidP="00BE0F30">
            <w:pPr>
              <w:spacing w:line="280" w:lineRule="atLeast"/>
              <w:rPr>
                <w:rFonts w:ascii="Arial" w:hAnsi="Arial"/>
                <w:i/>
                <w:sz w:val="18"/>
                <w:szCs w:val="18"/>
              </w:rPr>
            </w:pPr>
            <w:r w:rsidRPr="00D14BC4">
              <w:rPr>
                <w:rFonts w:ascii="Arial" w:hAnsi="Arial"/>
                <w:i/>
                <w:sz w:val="18"/>
                <w:szCs w:val="18"/>
              </w:rPr>
              <w:t xml:space="preserve">Viðnám gegn niðurbroti </w:t>
            </w:r>
            <w:r w:rsidR="0098645A">
              <w:rPr>
                <w:rFonts w:ascii="Arial" w:hAnsi="Arial"/>
                <w:i/>
                <w:sz w:val="18"/>
                <w:szCs w:val="18"/>
              </w:rPr>
              <w:t>(LA)</w:t>
            </w:r>
          </w:p>
        </w:tc>
        <w:tc>
          <w:tcPr>
            <w:tcW w:w="1209" w:type="dxa"/>
            <w:shd w:val="clear" w:color="auto" w:fill="FDE9D9" w:themeFill="accent6" w:themeFillTint="33"/>
          </w:tcPr>
          <w:p w14:paraId="149E04F5" w14:textId="77777777" w:rsidR="00376A3F" w:rsidRPr="0074266C" w:rsidRDefault="00E56BA2" w:rsidP="00BE0F30">
            <w:pPr>
              <w:jc w:val="center"/>
              <w:rPr>
                <w:rFonts w:ascii="Calibri" w:eastAsia="Calibri" w:hAnsi="Calibri"/>
                <w:sz w:val="22"/>
                <w:szCs w:val="22"/>
              </w:rPr>
            </w:pPr>
            <w:r>
              <w:rPr>
                <w:rFonts w:ascii="Calibri" w:eastAsia="Calibri" w:hAnsi="Calibri"/>
                <w:sz w:val="22"/>
                <w:szCs w:val="22"/>
              </w:rPr>
              <w:t>x</w:t>
            </w:r>
          </w:p>
        </w:tc>
        <w:tc>
          <w:tcPr>
            <w:tcW w:w="1103" w:type="dxa"/>
            <w:shd w:val="clear" w:color="auto" w:fill="FDE9D9" w:themeFill="accent6" w:themeFillTint="33"/>
          </w:tcPr>
          <w:p w14:paraId="0D30ECCB"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291" w:type="dxa"/>
            <w:shd w:val="clear" w:color="auto" w:fill="FDE9D9" w:themeFill="accent6" w:themeFillTint="33"/>
          </w:tcPr>
          <w:p w14:paraId="28F8EDA8" w14:textId="77777777" w:rsidR="00376A3F" w:rsidRPr="0074266C" w:rsidRDefault="00BE0F30" w:rsidP="00714086">
            <w:pPr>
              <w:jc w:val="center"/>
              <w:rPr>
                <w:rFonts w:ascii="Calibri" w:eastAsia="Calibri" w:hAnsi="Calibri"/>
                <w:sz w:val="22"/>
                <w:szCs w:val="22"/>
              </w:rPr>
            </w:pPr>
            <w:r>
              <w:rPr>
                <w:rFonts w:ascii="Calibri" w:eastAsia="Calibri" w:hAnsi="Calibri"/>
                <w:sz w:val="22"/>
                <w:szCs w:val="22"/>
              </w:rPr>
              <w:t>x</w:t>
            </w:r>
          </w:p>
        </w:tc>
        <w:tc>
          <w:tcPr>
            <w:tcW w:w="952" w:type="dxa"/>
            <w:shd w:val="clear" w:color="auto" w:fill="FDE9D9" w:themeFill="accent6" w:themeFillTint="33"/>
          </w:tcPr>
          <w:p w14:paraId="70C20B90" w14:textId="77777777" w:rsidR="00376A3F" w:rsidRPr="0074266C" w:rsidRDefault="00BE0F30" w:rsidP="00714086">
            <w:pPr>
              <w:jc w:val="center"/>
              <w:rPr>
                <w:rFonts w:ascii="Calibri" w:eastAsia="Calibri" w:hAnsi="Calibri"/>
                <w:sz w:val="22"/>
                <w:szCs w:val="22"/>
              </w:rPr>
            </w:pPr>
            <w:r>
              <w:rPr>
                <w:rFonts w:ascii="Calibri" w:eastAsia="Calibri" w:hAnsi="Calibri"/>
                <w:sz w:val="22"/>
                <w:szCs w:val="22"/>
              </w:rPr>
              <w:t>x</w:t>
            </w:r>
          </w:p>
        </w:tc>
        <w:tc>
          <w:tcPr>
            <w:tcW w:w="845" w:type="dxa"/>
            <w:shd w:val="clear" w:color="auto" w:fill="FDE9D9" w:themeFill="accent6" w:themeFillTint="33"/>
          </w:tcPr>
          <w:p w14:paraId="5F4282BB"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159E1DAC"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r>
      <w:tr w:rsidR="00D5459E" w:rsidRPr="0074266C" w14:paraId="27AC3200" w14:textId="77777777" w:rsidTr="00CD5145">
        <w:tc>
          <w:tcPr>
            <w:tcW w:w="1617" w:type="dxa"/>
            <w:shd w:val="clear" w:color="auto" w:fill="DAEEF3" w:themeFill="accent5" w:themeFillTint="33"/>
          </w:tcPr>
          <w:p w14:paraId="566015C9" w14:textId="690B900C" w:rsidR="00AE0776" w:rsidRPr="00D14BC4" w:rsidRDefault="00AE0776" w:rsidP="00BE0F30">
            <w:pPr>
              <w:spacing w:line="280" w:lineRule="atLeast"/>
              <w:rPr>
                <w:rFonts w:ascii="Arial" w:hAnsi="Arial"/>
                <w:i/>
                <w:sz w:val="18"/>
                <w:szCs w:val="18"/>
              </w:rPr>
            </w:pPr>
            <w:r>
              <w:rPr>
                <w:rFonts w:ascii="Arial" w:hAnsi="Arial"/>
                <w:i/>
                <w:sz w:val="18"/>
                <w:szCs w:val="18"/>
              </w:rPr>
              <w:t xml:space="preserve">Rigden holýrmd </w:t>
            </w:r>
            <w:r w:rsidR="00AE14AA">
              <w:rPr>
                <w:rFonts w:ascii="Arial" w:hAnsi="Arial"/>
                <w:i/>
                <w:sz w:val="18"/>
                <w:szCs w:val="18"/>
              </w:rPr>
              <w:t>mélu (</w:t>
            </w:r>
            <w:r>
              <w:rPr>
                <w:rFonts w:ascii="Arial" w:hAnsi="Arial"/>
                <w:i/>
                <w:sz w:val="18"/>
                <w:szCs w:val="18"/>
              </w:rPr>
              <w:t>fillers</w:t>
            </w:r>
            <w:r w:rsidR="00AE14AA">
              <w:rPr>
                <w:rFonts w:ascii="Arial" w:hAnsi="Arial"/>
                <w:i/>
                <w:sz w:val="18"/>
                <w:szCs w:val="18"/>
              </w:rPr>
              <w:t>)</w:t>
            </w:r>
          </w:p>
        </w:tc>
        <w:tc>
          <w:tcPr>
            <w:tcW w:w="1209" w:type="dxa"/>
            <w:shd w:val="clear" w:color="auto" w:fill="FDE9D9" w:themeFill="accent6" w:themeFillTint="33"/>
          </w:tcPr>
          <w:p w14:paraId="3F309B82" w14:textId="7B806783" w:rsidR="00AE0776" w:rsidRDefault="00AE0776" w:rsidP="00BE0F30">
            <w:pPr>
              <w:jc w:val="center"/>
              <w:rPr>
                <w:rFonts w:ascii="Calibri" w:eastAsia="Calibri" w:hAnsi="Calibri"/>
                <w:sz w:val="22"/>
                <w:szCs w:val="22"/>
              </w:rPr>
            </w:pPr>
            <w:r>
              <w:rPr>
                <w:rFonts w:ascii="Calibri" w:eastAsia="Calibri" w:hAnsi="Calibri"/>
                <w:sz w:val="22"/>
                <w:szCs w:val="22"/>
              </w:rPr>
              <w:t>-</w:t>
            </w:r>
          </w:p>
        </w:tc>
        <w:tc>
          <w:tcPr>
            <w:tcW w:w="1103" w:type="dxa"/>
            <w:shd w:val="clear" w:color="auto" w:fill="FDE9D9" w:themeFill="accent6" w:themeFillTint="33"/>
          </w:tcPr>
          <w:p w14:paraId="46CA9BC0" w14:textId="080FFD10" w:rsidR="00AE0776" w:rsidRDefault="00AE0776" w:rsidP="002E134D">
            <w:pPr>
              <w:jc w:val="center"/>
              <w:rPr>
                <w:rFonts w:ascii="Calibri" w:eastAsia="Calibri" w:hAnsi="Calibri"/>
                <w:sz w:val="22"/>
                <w:szCs w:val="22"/>
              </w:rPr>
            </w:pPr>
            <w:r>
              <w:rPr>
                <w:rFonts w:ascii="Calibri" w:eastAsia="Calibri" w:hAnsi="Calibri"/>
                <w:sz w:val="22"/>
                <w:szCs w:val="22"/>
              </w:rPr>
              <w:t>-</w:t>
            </w:r>
          </w:p>
        </w:tc>
        <w:tc>
          <w:tcPr>
            <w:tcW w:w="1291" w:type="dxa"/>
            <w:shd w:val="clear" w:color="auto" w:fill="FDE9D9" w:themeFill="accent6" w:themeFillTint="33"/>
          </w:tcPr>
          <w:p w14:paraId="65C5E033" w14:textId="686BF4A6" w:rsidR="00AE0776" w:rsidRDefault="00AE0776" w:rsidP="00714086">
            <w:pPr>
              <w:jc w:val="center"/>
              <w:rPr>
                <w:rFonts w:ascii="Calibri" w:eastAsia="Calibri" w:hAnsi="Calibri"/>
                <w:sz w:val="22"/>
                <w:szCs w:val="22"/>
              </w:rPr>
            </w:pPr>
            <w:r>
              <w:rPr>
                <w:rFonts w:ascii="Calibri" w:eastAsia="Calibri" w:hAnsi="Calibri"/>
                <w:sz w:val="22"/>
                <w:szCs w:val="22"/>
              </w:rPr>
              <w:t>-</w:t>
            </w:r>
          </w:p>
        </w:tc>
        <w:tc>
          <w:tcPr>
            <w:tcW w:w="952" w:type="dxa"/>
            <w:shd w:val="clear" w:color="auto" w:fill="FDE9D9" w:themeFill="accent6" w:themeFillTint="33"/>
          </w:tcPr>
          <w:p w14:paraId="7337015B" w14:textId="10957A18" w:rsidR="00AE0776" w:rsidRDefault="00AE0776" w:rsidP="00714086">
            <w:pPr>
              <w:jc w:val="center"/>
              <w:rPr>
                <w:rFonts w:ascii="Calibri" w:eastAsia="Calibri" w:hAnsi="Calibri"/>
                <w:sz w:val="22"/>
                <w:szCs w:val="22"/>
              </w:rPr>
            </w:pPr>
            <w:r>
              <w:rPr>
                <w:rFonts w:ascii="Calibri" w:eastAsia="Calibri" w:hAnsi="Calibri"/>
                <w:sz w:val="22"/>
                <w:szCs w:val="22"/>
              </w:rPr>
              <w:t>-</w:t>
            </w:r>
          </w:p>
        </w:tc>
        <w:tc>
          <w:tcPr>
            <w:tcW w:w="845" w:type="dxa"/>
            <w:shd w:val="clear" w:color="auto" w:fill="FDE9D9" w:themeFill="accent6" w:themeFillTint="33"/>
          </w:tcPr>
          <w:p w14:paraId="203BF16D" w14:textId="2F0E231D" w:rsidR="00AE0776" w:rsidRDefault="00AE0776"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36A9B5B2" w14:textId="4C65E148" w:rsidR="00AE0776" w:rsidRDefault="00AE0776" w:rsidP="002E134D">
            <w:pPr>
              <w:jc w:val="center"/>
              <w:rPr>
                <w:rFonts w:ascii="Calibri" w:eastAsia="Calibri" w:hAnsi="Calibri"/>
                <w:sz w:val="22"/>
                <w:szCs w:val="22"/>
              </w:rPr>
            </w:pPr>
            <w:r>
              <w:rPr>
                <w:rFonts w:ascii="Calibri" w:eastAsia="Calibri" w:hAnsi="Calibri"/>
                <w:sz w:val="22"/>
                <w:szCs w:val="22"/>
              </w:rPr>
              <w:t>-</w:t>
            </w:r>
          </w:p>
        </w:tc>
      </w:tr>
      <w:tr w:rsidR="00D5459E" w:rsidRPr="0074266C" w14:paraId="5C88A4B5" w14:textId="77777777" w:rsidTr="00CD5145">
        <w:tc>
          <w:tcPr>
            <w:tcW w:w="1617" w:type="dxa"/>
            <w:shd w:val="clear" w:color="auto" w:fill="DAEEF3" w:themeFill="accent5" w:themeFillTint="33"/>
          </w:tcPr>
          <w:p w14:paraId="0CD86BAF" w14:textId="2A7E9598" w:rsidR="001A6170" w:rsidRDefault="001A6170" w:rsidP="00BE0F30">
            <w:pPr>
              <w:spacing w:line="280" w:lineRule="atLeast"/>
              <w:rPr>
                <w:rFonts w:ascii="Arial" w:hAnsi="Arial"/>
                <w:i/>
                <w:sz w:val="18"/>
                <w:szCs w:val="18"/>
              </w:rPr>
            </w:pPr>
            <w:r>
              <w:rPr>
                <w:rFonts w:ascii="Arial" w:hAnsi="Arial"/>
                <w:i/>
                <w:sz w:val="18"/>
                <w:szCs w:val="18"/>
              </w:rPr>
              <w:t>Rúmþyngd mélu (fillers)</w:t>
            </w:r>
          </w:p>
        </w:tc>
        <w:tc>
          <w:tcPr>
            <w:tcW w:w="1209" w:type="dxa"/>
            <w:shd w:val="clear" w:color="auto" w:fill="FDE9D9" w:themeFill="accent6" w:themeFillTint="33"/>
          </w:tcPr>
          <w:p w14:paraId="65A7C23C" w14:textId="0123A619" w:rsidR="001A6170" w:rsidRDefault="001A6170" w:rsidP="00BE0F30">
            <w:pPr>
              <w:jc w:val="center"/>
              <w:rPr>
                <w:rFonts w:ascii="Calibri" w:eastAsia="Calibri" w:hAnsi="Calibri"/>
                <w:sz w:val="22"/>
                <w:szCs w:val="22"/>
              </w:rPr>
            </w:pPr>
            <w:r>
              <w:rPr>
                <w:rFonts w:ascii="Calibri" w:eastAsia="Calibri" w:hAnsi="Calibri"/>
                <w:sz w:val="22"/>
                <w:szCs w:val="22"/>
              </w:rPr>
              <w:t>-</w:t>
            </w:r>
          </w:p>
        </w:tc>
        <w:tc>
          <w:tcPr>
            <w:tcW w:w="1103" w:type="dxa"/>
            <w:shd w:val="clear" w:color="auto" w:fill="FDE9D9" w:themeFill="accent6" w:themeFillTint="33"/>
          </w:tcPr>
          <w:p w14:paraId="6FD36854" w14:textId="4FA7C79A" w:rsidR="001A6170" w:rsidRDefault="001A6170" w:rsidP="002E134D">
            <w:pPr>
              <w:jc w:val="center"/>
              <w:rPr>
                <w:rFonts w:ascii="Calibri" w:eastAsia="Calibri" w:hAnsi="Calibri"/>
                <w:sz w:val="22"/>
                <w:szCs w:val="22"/>
              </w:rPr>
            </w:pPr>
            <w:r>
              <w:rPr>
                <w:rFonts w:ascii="Calibri" w:eastAsia="Calibri" w:hAnsi="Calibri"/>
                <w:sz w:val="22"/>
                <w:szCs w:val="22"/>
              </w:rPr>
              <w:t>-</w:t>
            </w:r>
          </w:p>
        </w:tc>
        <w:tc>
          <w:tcPr>
            <w:tcW w:w="1291" w:type="dxa"/>
            <w:shd w:val="clear" w:color="auto" w:fill="FDE9D9" w:themeFill="accent6" w:themeFillTint="33"/>
          </w:tcPr>
          <w:p w14:paraId="1C5648B1" w14:textId="72A13376" w:rsidR="001A6170" w:rsidRDefault="001A6170" w:rsidP="00714086">
            <w:pPr>
              <w:jc w:val="center"/>
              <w:rPr>
                <w:rFonts w:ascii="Calibri" w:eastAsia="Calibri" w:hAnsi="Calibri"/>
                <w:sz w:val="22"/>
                <w:szCs w:val="22"/>
              </w:rPr>
            </w:pPr>
            <w:r>
              <w:rPr>
                <w:rFonts w:ascii="Calibri" w:eastAsia="Calibri" w:hAnsi="Calibri"/>
                <w:sz w:val="22"/>
                <w:szCs w:val="22"/>
              </w:rPr>
              <w:t>-</w:t>
            </w:r>
          </w:p>
        </w:tc>
        <w:tc>
          <w:tcPr>
            <w:tcW w:w="952" w:type="dxa"/>
            <w:shd w:val="clear" w:color="auto" w:fill="FDE9D9" w:themeFill="accent6" w:themeFillTint="33"/>
          </w:tcPr>
          <w:p w14:paraId="352F709D" w14:textId="2D403D57" w:rsidR="001A6170" w:rsidRDefault="001A6170" w:rsidP="00714086">
            <w:pPr>
              <w:jc w:val="center"/>
              <w:rPr>
                <w:rFonts w:ascii="Calibri" w:eastAsia="Calibri" w:hAnsi="Calibri"/>
                <w:sz w:val="22"/>
                <w:szCs w:val="22"/>
              </w:rPr>
            </w:pPr>
            <w:r>
              <w:rPr>
                <w:rFonts w:ascii="Calibri" w:eastAsia="Calibri" w:hAnsi="Calibri"/>
                <w:sz w:val="22"/>
                <w:szCs w:val="22"/>
              </w:rPr>
              <w:t>-</w:t>
            </w:r>
          </w:p>
        </w:tc>
        <w:tc>
          <w:tcPr>
            <w:tcW w:w="845" w:type="dxa"/>
            <w:shd w:val="clear" w:color="auto" w:fill="FDE9D9" w:themeFill="accent6" w:themeFillTint="33"/>
          </w:tcPr>
          <w:p w14:paraId="7800075B" w14:textId="147DF5AB" w:rsidR="001A6170" w:rsidRDefault="001A6170"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34272379" w14:textId="3F466A67" w:rsidR="001A6170" w:rsidRDefault="001A6170" w:rsidP="002E134D">
            <w:pPr>
              <w:jc w:val="center"/>
              <w:rPr>
                <w:rFonts w:ascii="Calibri" w:eastAsia="Calibri" w:hAnsi="Calibri"/>
                <w:sz w:val="22"/>
                <w:szCs w:val="22"/>
              </w:rPr>
            </w:pPr>
            <w:r>
              <w:rPr>
                <w:rFonts w:ascii="Calibri" w:eastAsia="Calibri" w:hAnsi="Calibri"/>
                <w:sz w:val="22"/>
                <w:szCs w:val="22"/>
              </w:rPr>
              <w:t>-</w:t>
            </w:r>
          </w:p>
        </w:tc>
      </w:tr>
      <w:tr w:rsidR="00D5459E" w:rsidRPr="0074266C" w14:paraId="655DA31A" w14:textId="77777777" w:rsidTr="00CD5145">
        <w:tc>
          <w:tcPr>
            <w:tcW w:w="1617" w:type="dxa"/>
            <w:shd w:val="clear" w:color="auto" w:fill="DAEEF3" w:themeFill="accent5" w:themeFillTint="33"/>
          </w:tcPr>
          <w:p w14:paraId="070579A7" w14:textId="77777777" w:rsidR="00376A3F" w:rsidRPr="00D14BC4" w:rsidRDefault="00376A3F" w:rsidP="000F2EB7">
            <w:pPr>
              <w:spacing w:line="280" w:lineRule="atLeast"/>
              <w:rPr>
                <w:rFonts w:ascii="Arial" w:hAnsi="Arial"/>
                <w:i/>
                <w:sz w:val="18"/>
                <w:szCs w:val="18"/>
              </w:rPr>
            </w:pPr>
            <w:r w:rsidRPr="00D14BC4">
              <w:rPr>
                <w:rFonts w:ascii="Arial" w:hAnsi="Arial"/>
                <w:i/>
                <w:sz w:val="18"/>
                <w:szCs w:val="18"/>
              </w:rPr>
              <w:t>Kornarúmþyngd og mettivatn</w:t>
            </w:r>
          </w:p>
        </w:tc>
        <w:tc>
          <w:tcPr>
            <w:tcW w:w="1209" w:type="dxa"/>
            <w:shd w:val="clear" w:color="auto" w:fill="FDE9D9" w:themeFill="accent6" w:themeFillTint="33"/>
          </w:tcPr>
          <w:p w14:paraId="7818B715"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1103" w:type="dxa"/>
            <w:shd w:val="clear" w:color="auto" w:fill="FDE9D9" w:themeFill="accent6" w:themeFillTint="33"/>
          </w:tcPr>
          <w:p w14:paraId="6734A267"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1291" w:type="dxa"/>
            <w:shd w:val="clear" w:color="auto" w:fill="FDE9D9" w:themeFill="accent6" w:themeFillTint="33"/>
          </w:tcPr>
          <w:p w14:paraId="69473A55"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952" w:type="dxa"/>
            <w:shd w:val="clear" w:color="auto" w:fill="FDE9D9" w:themeFill="accent6" w:themeFillTint="33"/>
          </w:tcPr>
          <w:p w14:paraId="6C95C4D0"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845" w:type="dxa"/>
            <w:shd w:val="clear" w:color="auto" w:fill="FDE9D9" w:themeFill="accent6" w:themeFillTint="33"/>
          </w:tcPr>
          <w:p w14:paraId="48AC5C05"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1342" w:type="dxa"/>
            <w:shd w:val="clear" w:color="auto" w:fill="FDE9D9" w:themeFill="accent6" w:themeFillTint="33"/>
          </w:tcPr>
          <w:p w14:paraId="1752FA6B"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r>
      <w:tr w:rsidR="00D5459E" w:rsidRPr="0074266C" w14:paraId="4297C5E6" w14:textId="77777777" w:rsidTr="00CD5145">
        <w:tc>
          <w:tcPr>
            <w:tcW w:w="1617" w:type="dxa"/>
            <w:shd w:val="clear" w:color="auto" w:fill="DAEEF3" w:themeFill="accent5" w:themeFillTint="33"/>
          </w:tcPr>
          <w:p w14:paraId="18A20449" w14:textId="0C65B383" w:rsidR="00AE0776" w:rsidRPr="00D14BC4" w:rsidRDefault="00AE0776" w:rsidP="000F2EB7">
            <w:pPr>
              <w:spacing w:line="280" w:lineRule="atLeast"/>
              <w:rPr>
                <w:rFonts w:ascii="Arial" w:hAnsi="Arial"/>
                <w:i/>
                <w:sz w:val="18"/>
                <w:szCs w:val="18"/>
              </w:rPr>
            </w:pPr>
            <w:r>
              <w:rPr>
                <w:rFonts w:ascii="Arial" w:hAnsi="Arial"/>
                <w:i/>
                <w:sz w:val="18"/>
                <w:szCs w:val="18"/>
              </w:rPr>
              <w:t>Pólerin</w:t>
            </w:r>
            <w:r w:rsidR="00E5515E">
              <w:rPr>
                <w:rFonts w:ascii="Arial" w:hAnsi="Arial"/>
                <w:i/>
                <w:sz w:val="18"/>
                <w:szCs w:val="18"/>
              </w:rPr>
              <w:t>g</w:t>
            </w:r>
            <w:r>
              <w:rPr>
                <w:rFonts w:ascii="Arial" w:hAnsi="Arial"/>
                <w:i/>
                <w:sz w:val="18"/>
                <w:szCs w:val="18"/>
              </w:rPr>
              <w:t xml:space="preserve"> steinefnis (PSV)</w:t>
            </w:r>
          </w:p>
        </w:tc>
        <w:tc>
          <w:tcPr>
            <w:tcW w:w="1209" w:type="dxa"/>
            <w:shd w:val="clear" w:color="auto" w:fill="FDE9D9" w:themeFill="accent6" w:themeFillTint="33"/>
          </w:tcPr>
          <w:p w14:paraId="1A8B3213" w14:textId="474769A1" w:rsidR="00AE0776" w:rsidRDefault="00AE0776" w:rsidP="002E134D">
            <w:pPr>
              <w:jc w:val="center"/>
              <w:rPr>
                <w:rFonts w:ascii="Calibri" w:eastAsia="Calibri" w:hAnsi="Calibri"/>
                <w:sz w:val="22"/>
                <w:szCs w:val="22"/>
              </w:rPr>
            </w:pPr>
            <w:r>
              <w:rPr>
                <w:rFonts w:ascii="Calibri" w:eastAsia="Calibri" w:hAnsi="Calibri"/>
                <w:sz w:val="22"/>
                <w:szCs w:val="22"/>
              </w:rPr>
              <w:t>-</w:t>
            </w:r>
          </w:p>
        </w:tc>
        <w:tc>
          <w:tcPr>
            <w:tcW w:w="1103" w:type="dxa"/>
            <w:shd w:val="clear" w:color="auto" w:fill="FDE9D9" w:themeFill="accent6" w:themeFillTint="33"/>
          </w:tcPr>
          <w:p w14:paraId="690CB64D" w14:textId="19AC2D91" w:rsidR="00AE0776" w:rsidRDefault="00AE0776" w:rsidP="002E134D">
            <w:pPr>
              <w:jc w:val="center"/>
              <w:rPr>
                <w:rFonts w:ascii="Calibri" w:eastAsia="Calibri" w:hAnsi="Calibri"/>
                <w:sz w:val="22"/>
                <w:szCs w:val="22"/>
              </w:rPr>
            </w:pPr>
            <w:r>
              <w:rPr>
                <w:rFonts w:ascii="Calibri" w:eastAsia="Calibri" w:hAnsi="Calibri"/>
                <w:sz w:val="22"/>
                <w:szCs w:val="22"/>
              </w:rPr>
              <w:t>-</w:t>
            </w:r>
          </w:p>
        </w:tc>
        <w:tc>
          <w:tcPr>
            <w:tcW w:w="1291" w:type="dxa"/>
            <w:shd w:val="clear" w:color="auto" w:fill="FDE9D9" w:themeFill="accent6" w:themeFillTint="33"/>
          </w:tcPr>
          <w:p w14:paraId="27BA990B" w14:textId="7D5CD29D" w:rsidR="00AE0776" w:rsidRDefault="00AE0776" w:rsidP="002E134D">
            <w:pPr>
              <w:jc w:val="center"/>
              <w:rPr>
                <w:rFonts w:ascii="Calibri" w:eastAsia="Calibri" w:hAnsi="Calibri"/>
                <w:sz w:val="22"/>
                <w:szCs w:val="22"/>
              </w:rPr>
            </w:pPr>
            <w:r>
              <w:rPr>
                <w:rFonts w:ascii="Calibri" w:eastAsia="Calibri" w:hAnsi="Calibri"/>
                <w:sz w:val="22"/>
                <w:szCs w:val="22"/>
              </w:rPr>
              <w:t>-</w:t>
            </w:r>
          </w:p>
        </w:tc>
        <w:tc>
          <w:tcPr>
            <w:tcW w:w="952" w:type="dxa"/>
            <w:shd w:val="clear" w:color="auto" w:fill="FDE9D9" w:themeFill="accent6" w:themeFillTint="33"/>
          </w:tcPr>
          <w:p w14:paraId="3C8DF225" w14:textId="6D08C10D" w:rsidR="00AE0776" w:rsidRDefault="00AE0776" w:rsidP="002E134D">
            <w:pPr>
              <w:jc w:val="center"/>
              <w:rPr>
                <w:rFonts w:ascii="Calibri" w:eastAsia="Calibri" w:hAnsi="Calibri"/>
                <w:sz w:val="22"/>
                <w:szCs w:val="22"/>
              </w:rPr>
            </w:pPr>
            <w:r>
              <w:rPr>
                <w:rFonts w:ascii="Calibri" w:eastAsia="Calibri" w:hAnsi="Calibri"/>
                <w:sz w:val="22"/>
                <w:szCs w:val="22"/>
              </w:rPr>
              <w:t>-</w:t>
            </w:r>
          </w:p>
        </w:tc>
        <w:tc>
          <w:tcPr>
            <w:tcW w:w="845" w:type="dxa"/>
            <w:shd w:val="clear" w:color="auto" w:fill="FDE9D9" w:themeFill="accent6" w:themeFillTint="33"/>
          </w:tcPr>
          <w:p w14:paraId="2C8F434B" w14:textId="03E2FED8" w:rsidR="00AE0776" w:rsidRDefault="00AE0776"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0F156386" w14:textId="08B3AEE5" w:rsidR="00AE0776" w:rsidRDefault="00AE0776" w:rsidP="002E134D">
            <w:pPr>
              <w:jc w:val="center"/>
              <w:rPr>
                <w:rFonts w:ascii="Calibri" w:eastAsia="Calibri" w:hAnsi="Calibri"/>
                <w:sz w:val="22"/>
                <w:szCs w:val="22"/>
              </w:rPr>
            </w:pPr>
            <w:r>
              <w:rPr>
                <w:rFonts w:ascii="Calibri" w:eastAsia="Calibri" w:hAnsi="Calibri"/>
                <w:sz w:val="22"/>
                <w:szCs w:val="22"/>
              </w:rPr>
              <w:t>x</w:t>
            </w:r>
          </w:p>
        </w:tc>
      </w:tr>
      <w:tr w:rsidR="00D5459E" w:rsidRPr="0074266C" w14:paraId="5E33B029" w14:textId="77777777" w:rsidTr="00CD5145">
        <w:tc>
          <w:tcPr>
            <w:tcW w:w="1617" w:type="dxa"/>
            <w:shd w:val="clear" w:color="auto" w:fill="DAEEF3" w:themeFill="accent5" w:themeFillTint="33"/>
          </w:tcPr>
          <w:p w14:paraId="253D44F8" w14:textId="7FFA0848" w:rsidR="00BA3E8D" w:rsidRDefault="00BA3E8D" w:rsidP="000F2EB7">
            <w:pPr>
              <w:spacing w:line="280" w:lineRule="atLeast"/>
              <w:rPr>
                <w:rFonts w:ascii="Arial" w:hAnsi="Arial"/>
                <w:i/>
                <w:sz w:val="18"/>
                <w:szCs w:val="18"/>
              </w:rPr>
            </w:pPr>
            <w:r>
              <w:rPr>
                <w:rFonts w:ascii="Arial" w:hAnsi="Arial"/>
                <w:i/>
                <w:sz w:val="18"/>
                <w:szCs w:val="18"/>
              </w:rPr>
              <w:t>Endurskin steinefnis (L)</w:t>
            </w:r>
          </w:p>
        </w:tc>
        <w:tc>
          <w:tcPr>
            <w:tcW w:w="1209" w:type="dxa"/>
            <w:shd w:val="clear" w:color="auto" w:fill="FDE9D9" w:themeFill="accent6" w:themeFillTint="33"/>
          </w:tcPr>
          <w:p w14:paraId="3A8BA461" w14:textId="361CA7DF" w:rsidR="00BA3E8D" w:rsidRDefault="00BA3E8D" w:rsidP="002E134D">
            <w:pPr>
              <w:jc w:val="center"/>
              <w:rPr>
                <w:rFonts w:ascii="Calibri" w:eastAsia="Calibri" w:hAnsi="Calibri"/>
                <w:sz w:val="22"/>
                <w:szCs w:val="22"/>
              </w:rPr>
            </w:pPr>
            <w:r>
              <w:rPr>
                <w:rFonts w:ascii="Calibri" w:eastAsia="Calibri" w:hAnsi="Calibri"/>
                <w:sz w:val="22"/>
                <w:szCs w:val="22"/>
              </w:rPr>
              <w:t>-</w:t>
            </w:r>
          </w:p>
        </w:tc>
        <w:tc>
          <w:tcPr>
            <w:tcW w:w="1103" w:type="dxa"/>
            <w:shd w:val="clear" w:color="auto" w:fill="FDE9D9" w:themeFill="accent6" w:themeFillTint="33"/>
          </w:tcPr>
          <w:p w14:paraId="1A2DDF41" w14:textId="0460D747" w:rsidR="00BA3E8D" w:rsidRDefault="00BA3E8D" w:rsidP="002E134D">
            <w:pPr>
              <w:jc w:val="center"/>
              <w:rPr>
                <w:rFonts w:ascii="Calibri" w:eastAsia="Calibri" w:hAnsi="Calibri"/>
                <w:sz w:val="22"/>
                <w:szCs w:val="22"/>
              </w:rPr>
            </w:pPr>
            <w:r>
              <w:rPr>
                <w:rFonts w:ascii="Calibri" w:eastAsia="Calibri" w:hAnsi="Calibri"/>
                <w:sz w:val="22"/>
                <w:szCs w:val="22"/>
              </w:rPr>
              <w:t>-</w:t>
            </w:r>
          </w:p>
        </w:tc>
        <w:tc>
          <w:tcPr>
            <w:tcW w:w="1291" w:type="dxa"/>
            <w:shd w:val="clear" w:color="auto" w:fill="FDE9D9" w:themeFill="accent6" w:themeFillTint="33"/>
          </w:tcPr>
          <w:p w14:paraId="6CDA7510" w14:textId="122F7A4A" w:rsidR="00BA3E8D" w:rsidRDefault="00BA3E8D" w:rsidP="002E134D">
            <w:pPr>
              <w:jc w:val="center"/>
              <w:rPr>
                <w:rFonts w:ascii="Calibri" w:eastAsia="Calibri" w:hAnsi="Calibri"/>
                <w:sz w:val="22"/>
                <w:szCs w:val="22"/>
              </w:rPr>
            </w:pPr>
            <w:r>
              <w:rPr>
                <w:rFonts w:ascii="Calibri" w:eastAsia="Calibri" w:hAnsi="Calibri"/>
                <w:sz w:val="22"/>
                <w:szCs w:val="22"/>
              </w:rPr>
              <w:t>-</w:t>
            </w:r>
          </w:p>
        </w:tc>
        <w:tc>
          <w:tcPr>
            <w:tcW w:w="952" w:type="dxa"/>
            <w:shd w:val="clear" w:color="auto" w:fill="FDE9D9" w:themeFill="accent6" w:themeFillTint="33"/>
          </w:tcPr>
          <w:p w14:paraId="13C9C659" w14:textId="427324E7" w:rsidR="00BA3E8D" w:rsidRDefault="00BA3E8D" w:rsidP="002E134D">
            <w:pPr>
              <w:jc w:val="center"/>
              <w:rPr>
                <w:rFonts w:ascii="Calibri" w:eastAsia="Calibri" w:hAnsi="Calibri"/>
                <w:sz w:val="22"/>
                <w:szCs w:val="22"/>
              </w:rPr>
            </w:pPr>
            <w:r>
              <w:rPr>
                <w:rFonts w:ascii="Calibri" w:eastAsia="Calibri" w:hAnsi="Calibri"/>
                <w:sz w:val="22"/>
                <w:szCs w:val="22"/>
              </w:rPr>
              <w:t>-</w:t>
            </w:r>
          </w:p>
        </w:tc>
        <w:tc>
          <w:tcPr>
            <w:tcW w:w="845" w:type="dxa"/>
            <w:shd w:val="clear" w:color="auto" w:fill="FDE9D9" w:themeFill="accent6" w:themeFillTint="33"/>
          </w:tcPr>
          <w:p w14:paraId="3ECB0E96" w14:textId="565B7859" w:rsidR="00BA3E8D" w:rsidRDefault="00BA3E8D"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0EFB6A8F" w14:textId="0E24E4A6" w:rsidR="00BA3E8D" w:rsidRDefault="00BA3E8D" w:rsidP="002E134D">
            <w:pPr>
              <w:jc w:val="center"/>
              <w:rPr>
                <w:rFonts w:ascii="Calibri" w:eastAsia="Calibri" w:hAnsi="Calibri"/>
                <w:sz w:val="22"/>
                <w:szCs w:val="22"/>
              </w:rPr>
            </w:pPr>
            <w:r>
              <w:rPr>
                <w:rFonts w:ascii="Calibri" w:eastAsia="Calibri" w:hAnsi="Calibri"/>
                <w:sz w:val="22"/>
                <w:szCs w:val="22"/>
              </w:rPr>
              <w:t>-</w:t>
            </w:r>
          </w:p>
        </w:tc>
      </w:tr>
      <w:tr w:rsidR="00D5459E" w:rsidRPr="0074266C" w14:paraId="402B448B" w14:textId="77777777" w:rsidTr="00CD5145">
        <w:tc>
          <w:tcPr>
            <w:tcW w:w="1617" w:type="dxa"/>
            <w:shd w:val="clear" w:color="auto" w:fill="DAEEF3" w:themeFill="accent5" w:themeFillTint="33"/>
          </w:tcPr>
          <w:p w14:paraId="5446FA2E" w14:textId="41E7001E" w:rsidR="00376A3F" w:rsidRPr="00D14BC4" w:rsidRDefault="00376A3F" w:rsidP="000F2EB7">
            <w:pPr>
              <w:spacing w:line="280" w:lineRule="atLeast"/>
              <w:rPr>
                <w:rFonts w:ascii="Arial" w:hAnsi="Arial"/>
                <w:i/>
                <w:sz w:val="18"/>
                <w:szCs w:val="18"/>
              </w:rPr>
            </w:pPr>
            <w:r w:rsidRPr="00D14BC4">
              <w:rPr>
                <w:rFonts w:ascii="Arial" w:hAnsi="Arial"/>
                <w:i/>
                <w:sz w:val="18"/>
                <w:szCs w:val="18"/>
              </w:rPr>
              <w:t>Viðnám gegn nagladekkjasliti</w:t>
            </w:r>
            <w:r w:rsidR="00AE0776">
              <w:rPr>
                <w:rFonts w:ascii="Arial" w:hAnsi="Arial"/>
                <w:i/>
                <w:sz w:val="18"/>
                <w:szCs w:val="18"/>
              </w:rPr>
              <w:t xml:space="preserve"> (A</w:t>
            </w:r>
            <w:r w:rsidR="00AE0776" w:rsidRPr="00AE0776">
              <w:rPr>
                <w:rFonts w:ascii="Arial" w:hAnsi="Arial"/>
                <w:i/>
                <w:sz w:val="18"/>
                <w:szCs w:val="18"/>
                <w:vertAlign w:val="subscript"/>
              </w:rPr>
              <w:t>N</w:t>
            </w:r>
            <w:r w:rsidR="00AE0776">
              <w:rPr>
                <w:rFonts w:ascii="Arial" w:hAnsi="Arial"/>
                <w:i/>
                <w:sz w:val="18"/>
                <w:szCs w:val="18"/>
              </w:rPr>
              <w:t>)</w:t>
            </w:r>
          </w:p>
        </w:tc>
        <w:tc>
          <w:tcPr>
            <w:tcW w:w="1209" w:type="dxa"/>
            <w:shd w:val="clear" w:color="auto" w:fill="FDE9D9" w:themeFill="accent6" w:themeFillTint="33"/>
          </w:tcPr>
          <w:p w14:paraId="41F89977"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1103" w:type="dxa"/>
            <w:shd w:val="clear" w:color="auto" w:fill="FDE9D9" w:themeFill="accent6" w:themeFillTint="33"/>
          </w:tcPr>
          <w:p w14:paraId="79245380"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1291" w:type="dxa"/>
            <w:shd w:val="clear" w:color="auto" w:fill="FDE9D9" w:themeFill="accent6" w:themeFillTint="33"/>
          </w:tcPr>
          <w:p w14:paraId="01A45D93"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952" w:type="dxa"/>
            <w:shd w:val="clear" w:color="auto" w:fill="FDE9D9" w:themeFill="accent6" w:themeFillTint="33"/>
          </w:tcPr>
          <w:p w14:paraId="19A67E7C" w14:textId="77777777" w:rsidR="00376A3F" w:rsidRPr="0074266C" w:rsidRDefault="00BE0F30" w:rsidP="002E134D">
            <w:pPr>
              <w:jc w:val="center"/>
              <w:rPr>
                <w:rFonts w:ascii="Calibri" w:eastAsia="Calibri" w:hAnsi="Calibri"/>
                <w:sz w:val="22"/>
                <w:szCs w:val="22"/>
              </w:rPr>
            </w:pPr>
            <w:r>
              <w:rPr>
                <w:rFonts w:ascii="Calibri" w:eastAsia="Calibri" w:hAnsi="Calibri"/>
                <w:sz w:val="22"/>
                <w:szCs w:val="22"/>
              </w:rPr>
              <w:t>x</w:t>
            </w:r>
          </w:p>
        </w:tc>
        <w:tc>
          <w:tcPr>
            <w:tcW w:w="845" w:type="dxa"/>
            <w:shd w:val="clear" w:color="auto" w:fill="FDE9D9" w:themeFill="accent6" w:themeFillTint="33"/>
          </w:tcPr>
          <w:p w14:paraId="234F29BA"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2F0078E9" w14:textId="1F3937B0" w:rsidR="00376A3F" w:rsidRPr="0074266C" w:rsidRDefault="00FE50E3" w:rsidP="00327590">
            <w:pPr>
              <w:jc w:val="center"/>
              <w:rPr>
                <w:rFonts w:ascii="Calibri" w:eastAsia="Calibri" w:hAnsi="Calibri"/>
                <w:sz w:val="22"/>
                <w:szCs w:val="22"/>
              </w:rPr>
            </w:pPr>
            <w:r>
              <w:rPr>
                <w:rFonts w:ascii="Calibri" w:eastAsia="Calibri" w:hAnsi="Calibri"/>
                <w:sz w:val="22"/>
                <w:szCs w:val="22"/>
              </w:rPr>
              <w:t>x</w:t>
            </w:r>
            <w:r w:rsidRPr="00DC5D01">
              <w:rPr>
                <w:rFonts w:ascii="Calibri" w:eastAsia="Calibri" w:hAnsi="Calibri"/>
                <w:sz w:val="22"/>
                <w:szCs w:val="22"/>
                <w:vertAlign w:val="superscript"/>
              </w:rPr>
              <w:t>2</w:t>
            </w:r>
          </w:p>
        </w:tc>
      </w:tr>
      <w:tr w:rsidR="00D5459E" w:rsidRPr="0074266C" w14:paraId="600E2227" w14:textId="77777777" w:rsidTr="00CD5145">
        <w:tc>
          <w:tcPr>
            <w:tcW w:w="1617" w:type="dxa"/>
            <w:shd w:val="clear" w:color="auto" w:fill="DAEEF3" w:themeFill="accent5" w:themeFillTint="33"/>
          </w:tcPr>
          <w:p w14:paraId="56F16C0A" w14:textId="77777777" w:rsidR="00376A3F" w:rsidRPr="00D14BC4" w:rsidRDefault="00BE0F30" w:rsidP="000F2EB7">
            <w:pPr>
              <w:spacing w:line="280" w:lineRule="atLeast"/>
              <w:rPr>
                <w:rFonts w:ascii="Arial" w:hAnsi="Arial"/>
                <w:i/>
                <w:sz w:val="18"/>
                <w:szCs w:val="18"/>
              </w:rPr>
            </w:pPr>
            <w:r>
              <w:rPr>
                <w:rFonts w:ascii="Arial" w:hAnsi="Arial"/>
                <w:i/>
                <w:sz w:val="18"/>
                <w:szCs w:val="18"/>
              </w:rPr>
              <w:t xml:space="preserve">Viðloðun við </w:t>
            </w:r>
            <w:r w:rsidR="00376A3F" w:rsidRPr="00D14BC4">
              <w:rPr>
                <w:rFonts w:ascii="Arial" w:hAnsi="Arial"/>
                <w:i/>
                <w:sz w:val="18"/>
                <w:szCs w:val="18"/>
              </w:rPr>
              <w:t>bindiefni</w:t>
            </w:r>
          </w:p>
        </w:tc>
        <w:tc>
          <w:tcPr>
            <w:tcW w:w="1209" w:type="dxa"/>
            <w:shd w:val="clear" w:color="auto" w:fill="FDE9D9" w:themeFill="accent6" w:themeFillTint="33"/>
          </w:tcPr>
          <w:p w14:paraId="06CA8E35"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1103" w:type="dxa"/>
            <w:shd w:val="clear" w:color="auto" w:fill="FDE9D9" w:themeFill="accent6" w:themeFillTint="33"/>
          </w:tcPr>
          <w:p w14:paraId="23BE412D"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1291" w:type="dxa"/>
            <w:shd w:val="clear" w:color="auto" w:fill="FDE9D9" w:themeFill="accent6" w:themeFillTint="33"/>
          </w:tcPr>
          <w:p w14:paraId="54D71E7C"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952" w:type="dxa"/>
            <w:shd w:val="clear" w:color="auto" w:fill="FDE9D9" w:themeFill="accent6" w:themeFillTint="33"/>
          </w:tcPr>
          <w:p w14:paraId="5BB94B4B" w14:textId="77777777" w:rsidR="00376A3F" w:rsidRPr="0074266C" w:rsidRDefault="00BE0F30" w:rsidP="002E134D">
            <w:pPr>
              <w:jc w:val="center"/>
              <w:rPr>
                <w:rFonts w:ascii="Calibri" w:eastAsia="Calibri" w:hAnsi="Calibri"/>
                <w:sz w:val="22"/>
                <w:szCs w:val="22"/>
              </w:rPr>
            </w:pPr>
            <w:r>
              <w:rPr>
                <w:rFonts w:ascii="Calibri" w:eastAsia="Calibri" w:hAnsi="Calibri"/>
                <w:sz w:val="22"/>
                <w:szCs w:val="22"/>
              </w:rPr>
              <w:t>x</w:t>
            </w:r>
          </w:p>
        </w:tc>
        <w:tc>
          <w:tcPr>
            <w:tcW w:w="845" w:type="dxa"/>
            <w:shd w:val="clear" w:color="auto" w:fill="FDE9D9" w:themeFill="accent6" w:themeFillTint="33"/>
          </w:tcPr>
          <w:p w14:paraId="6E8A6AB0" w14:textId="77777777" w:rsidR="00376A3F" w:rsidRPr="0074266C" w:rsidRDefault="00BE0F30"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4F2BD819"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r>
      <w:tr w:rsidR="00D5459E" w:rsidRPr="0074266C" w14:paraId="1BEEAD16" w14:textId="77777777" w:rsidTr="00CD5145">
        <w:tc>
          <w:tcPr>
            <w:tcW w:w="1617" w:type="dxa"/>
            <w:shd w:val="clear" w:color="auto" w:fill="DAEEF3" w:themeFill="accent5" w:themeFillTint="33"/>
          </w:tcPr>
          <w:p w14:paraId="194121AA" w14:textId="55FC4627" w:rsidR="00376A3F" w:rsidRPr="00D14BC4" w:rsidRDefault="00376A3F" w:rsidP="001E7B11">
            <w:pPr>
              <w:spacing w:line="280" w:lineRule="atLeast"/>
              <w:rPr>
                <w:rFonts w:ascii="Arial" w:hAnsi="Arial"/>
                <w:i/>
                <w:sz w:val="18"/>
                <w:szCs w:val="18"/>
              </w:rPr>
            </w:pPr>
            <w:r w:rsidRPr="00D14BC4">
              <w:rPr>
                <w:rFonts w:ascii="Arial" w:hAnsi="Arial"/>
                <w:i/>
                <w:sz w:val="18"/>
                <w:szCs w:val="18"/>
              </w:rPr>
              <w:t xml:space="preserve">Frostþol </w:t>
            </w:r>
            <w:r>
              <w:rPr>
                <w:rFonts w:ascii="Arial" w:hAnsi="Arial"/>
                <w:i/>
                <w:sz w:val="18"/>
                <w:szCs w:val="18"/>
              </w:rPr>
              <w:t>í saltlausn</w:t>
            </w:r>
            <w:r w:rsidR="00AE0776">
              <w:rPr>
                <w:rFonts w:ascii="Arial" w:hAnsi="Arial"/>
                <w:i/>
                <w:sz w:val="18"/>
                <w:szCs w:val="18"/>
              </w:rPr>
              <w:t xml:space="preserve"> (F</w:t>
            </w:r>
            <w:r w:rsidR="00AE0776" w:rsidRPr="00AE0776">
              <w:rPr>
                <w:rFonts w:ascii="Arial" w:hAnsi="Arial"/>
                <w:i/>
                <w:sz w:val="18"/>
                <w:szCs w:val="18"/>
                <w:vertAlign w:val="subscript"/>
              </w:rPr>
              <w:t>EC</w:t>
            </w:r>
            <w:r w:rsidR="00AE0776">
              <w:rPr>
                <w:rFonts w:ascii="Arial" w:hAnsi="Arial"/>
                <w:i/>
                <w:sz w:val="18"/>
                <w:szCs w:val="18"/>
              </w:rPr>
              <w:t>)</w:t>
            </w:r>
          </w:p>
        </w:tc>
        <w:tc>
          <w:tcPr>
            <w:tcW w:w="1209" w:type="dxa"/>
            <w:shd w:val="clear" w:color="auto" w:fill="FDE9D9" w:themeFill="accent6" w:themeFillTint="33"/>
          </w:tcPr>
          <w:p w14:paraId="72B53505" w14:textId="77777777" w:rsidR="00376A3F" w:rsidRPr="0074266C" w:rsidRDefault="000E0CB7" w:rsidP="002E134D">
            <w:pPr>
              <w:jc w:val="center"/>
              <w:rPr>
                <w:rFonts w:ascii="Calibri" w:eastAsia="Calibri" w:hAnsi="Calibri"/>
                <w:sz w:val="22"/>
                <w:szCs w:val="22"/>
              </w:rPr>
            </w:pPr>
            <w:r>
              <w:rPr>
                <w:rFonts w:ascii="Calibri" w:eastAsia="Calibri" w:hAnsi="Calibri"/>
                <w:sz w:val="22"/>
                <w:szCs w:val="22"/>
              </w:rPr>
              <w:t>-</w:t>
            </w:r>
          </w:p>
        </w:tc>
        <w:tc>
          <w:tcPr>
            <w:tcW w:w="1103" w:type="dxa"/>
            <w:shd w:val="clear" w:color="auto" w:fill="FDE9D9" w:themeFill="accent6" w:themeFillTint="33"/>
          </w:tcPr>
          <w:p w14:paraId="2CBFFED9" w14:textId="77777777" w:rsidR="00376A3F" w:rsidRPr="0074266C" w:rsidRDefault="00BE0F30" w:rsidP="00714086">
            <w:pPr>
              <w:jc w:val="center"/>
              <w:rPr>
                <w:rFonts w:ascii="Calibri" w:eastAsia="Calibri" w:hAnsi="Calibri"/>
                <w:sz w:val="22"/>
                <w:szCs w:val="22"/>
              </w:rPr>
            </w:pPr>
            <w:r>
              <w:rPr>
                <w:rFonts w:ascii="Calibri" w:eastAsia="Calibri" w:hAnsi="Calibri"/>
                <w:sz w:val="22"/>
                <w:szCs w:val="22"/>
              </w:rPr>
              <w:t>x</w:t>
            </w:r>
          </w:p>
        </w:tc>
        <w:tc>
          <w:tcPr>
            <w:tcW w:w="1291" w:type="dxa"/>
            <w:shd w:val="clear" w:color="auto" w:fill="FDE9D9" w:themeFill="accent6" w:themeFillTint="33"/>
          </w:tcPr>
          <w:p w14:paraId="5CA09263" w14:textId="77777777" w:rsidR="00376A3F" w:rsidRPr="0074266C" w:rsidRDefault="003F3A9C" w:rsidP="002E134D">
            <w:pPr>
              <w:jc w:val="center"/>
              <w:rPr>
                <w:rFonts w:ascii="Calibri" w:eastAsia="Calibri" w:hAnsi="Calibri"/>
                <w:sz w:val="22"/>
                <w:szCs w:val="22"/>
              </w:rPr>
            </w:pPr>
            <w:r>
              <w:rPr>
                <w:rFonts w:ascii="Calibri" w:eastAsia="Calibri" w:hAnsi="Calibri"/>
                <w:sz w:val="22"/>
                <w:szCs w:val="22"/>
              </w:rPr>
              <w:t>-</w:t>
            </w:r>
          </w:p>
        </w:tc>
        <w:tc>
          <w:tcPr>
            <w:tcW w:w="952" w:type="dxa"/>
            <w:shd w:val="clear" w:color="auto" w:fill="FDE9D9" w:themeFill="accent6" w:themeFillTint="33"/>
          </w:tcPr>
          <w:p w14:paraId="171CCBB7" w14:textId="77777777" w:rsidR="00376A3F" w:rsidRPr="0074266C" w:rsidRDefault="00BE0F30" w:rsidP="00714086">
            <w:pPr>
              <w:jc w:val="center"/>
              <w:rPr>
                <w:rFonts w:ascii="Calibri" w:eastAsia="Calibri" w:hAnsi="Calibri"/>
                <w:sz w:val="22"/>
                <w:szCs w:val="22"/>
              </w:rPr>
            </w:pPr>
            <w:r>
              <w:rPr>
                <w:rFonts w:ascii="Calibri" w:eastAsia="Calibri" w:hAnsi="Calibri"/>
                <w:sz w:val="22"/>
                <w:szCs w:val="22"/>
              </w:rPr>
              <w:t>x</w:t>
            </w:r>
          </w:p>
        </w:tc>
        <w:tc>
          <w:tcPr>
            <w:tcW w:w="845" w:type="dxa"/>
            <w:shd w:val="clear" w:color="auto" w:fill="FDE9D9" w:themeFill="accent6" w:themeFillTint="33"/>
          </w:tcPr>
          <w:p w14:paraId="46BFE699" w14:textId="77777777" w:rsidR="00376A3F" w:rsidRPr="0074266C" w:rsidRDefault="00BE0F30" w:rsidP="00714086">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4AFE617C" w14:textId="77777777" w:rsidR="00376A3F" w:rsidRPr="0074266C" w:rsidRDefault="00BE0F30" w:rsidP="00714086">
            <w:pPr>
              <w:jc w:val="center"/>
              <w:rPr>
                <w:rFonts w:ascii="Calibri" w:eastAsia="Calibri" w:hAnsi="Calibri"/>
                <w:sz w:val="22"/>
                <w:szCs w:val="22"/>
              </w:rPr>
            </w:pPr>
            <w:r>
              <w:rPr>
                <w:rFonts w:ascii="Calibri" w:eastAsia="Calibri" w:hAnsi="Calibri"/>
                <w:sz w:val="22"/>
                <w:szCs w:val="22"/>
              </w:rPr>
              <w:t>x</w:t>
            </w:r>
          </w:p>
        </w:tc>
      </w:tr>
      <w:tr w:rsidR="00D5459E" w:rsidRPr="0074266C" w14:paraId="24E8A2D3" w14:textId="77777777" w:rsidTr="00CD5145">
        <w:tc>
          <w:tcPr>
            <w:tcW w:w="1617" w:type="dxa"/>
            <w:shd w:val="clear" w:color="auto" w:fill="DAEEF3" w:themeFill="accent5" w:themeFillTint="33"/>
          </w:tcPr>
          <w:p w14:paraId="2E72F312" w14:textId="77777777" w:rsidR="00376A3F" w:rsidRPr="00D14BC4" w:rsidRDefault="00376A3F" w:rsidP="000F2EB7">
            <w:pPr>
              <w:spacing w:line="280" w:lineRule="atLeast"/>
              <w:rPr>
                <w:rFonts w:ascii="Arial" w:hAnsi="Arial"/>
                <w:i/>
                <w:sz w:val="18"/>
                <w:szCs w:val="18"/>
              </w:rPr>
            </w:pPr>
            <w:r w:rsidRPr="00D14BC4">
              <w:rPr>
                <w:rFonts w:ascii="Arial" w:hAnsi="Arial"/>
                <w:i/>
                <w:sz w:val="18"/>
                <w:szCs w:val="18"/>
              </w:rPr>
              <w:t>Alkalípróf</w:t>
            </w:r>
          </w:p>
        </w:tc>
        <w:tc>
          <w:tcPr>
            <w:tcW w:w="1209" w:type="dxa"/>
            <w:shd w:val="clear" w:color="auto" w:fill="FDE9D9" w:themeFill="accent6" w:themeFillTint="33"/>
          </w:tcPr>
          <w:p w14:paraId="0AE3B75C"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1103" w:type="dxa"/>
            <w:shd w:val="clear" w:color="auto" w:fill="FDE9D9" w:themeFill="accent6" w:themeFillTint="33"/>
          </w:tcPr>
          <w:p w14:paraId="5CFDF247"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1291" w:type="dxa"/>
            <w:shd w:val="clear" w:color="auto" w:fill="FDE9D9" w:themeFill="accent6" w:themeFillTint="33"/>
          </w:tcPr>
          <w:p w14:paraId="15446DEE"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952" w:type="dxa"/>
            <w:shd w:val="clear" w:color="auto" w:fill="FDE9D9" w:themeFill="accent6" w:themeFillTint="33"/>
          </w:tcPr>
          <w:p w14:paraId="7D39F8A8"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845" w:type="dxa"/>
            <w:shd w:val="clear" w:color="auto" w:fill="FDE9D9" w:themeFill="accent6" w:themeFillTint="33"/>
          </w:tcPr>
          <w:p w14:paraId="340543E3"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w:t>
            </w:r>
          </w:p>
        </w:tc>
        <w:tc>
          <w:tcPr>
            <w:tcW w:w="1342" w:type="dxa"/>
            <w:shd w:val="clear" w:color="auto" w:fill="FDE9D9" w:themeFill="accent6" w:themeFillTint="33"/>
          </w:tcPr>
          <w:p w14:paraId="490A22DF"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r>
      <w:tr w:rsidR="00D5459E" w:rsidRPr="0074266C" w14:paraId="03AA98B5" w14:textId="77777777" w:rsidTr="00CD5145">
        <w:tc>
          <w:tcPr>
            <w:tcW w:w="1617" w:type="dxa"/>
            <w:shd w:val="clear" w:color="auto" w:fill="DAEEF3" w:themeFill="accent5" w:themeFillTint="33"/>
          </w:tcPr>
          <w:p w14:paraId="0BBB3C04" w14:textId="77777777" w:rsidR="00376A3F" w:rsidRPr="00D14BC4" w:rsidRDefault="00376A3F" w:rsidP="000F2EB7">
            <w:pPr>
              <w:spacing w:line="280" w:lineRule="atLeast"/>
              <w:rPr>
                <w:rFonts w:ascii="Arial" w:hAnsi="Arial"/>
                <w:i/>
                <w:sz w:val="18"/>
                <w:szCs w:val="18"/>
              </w:rPr>
            </w:pPr>
            <w:r w:rsidRPr="00D14BC4">
              <w:rPr>
                <w:rFonts w:ascii="Arial" w:hAnsi="Arial"/>
                <w:i/>
                <w:sz w:val="18"/>
                <w:szCs w:val="18"/>
              </w:rPr>
              <w:t>Berggreining</w:t>
            </w:r>
          </w:p>
        </w:tc>
        <w:tc>
          <w:tcPr>
            <w:tcW w:w="1209" w:type="dxa"/>
            <w:shd w:val="clear" w:color="auto" w:fill="FDE9D9" w:themeFill="accent6" w:themeFillTint="33"/>
          </w:tcPr>
          <w:p w14:paraId="28FA243F"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103" w:type="dxa"/>
            <w:shd w:val="clear" w:color="auto" w:fill="FDE9D9" w:themeFill="accent6" w:themeFillTint="33"/>
          </w:tcPr>
          <w:p w14:paraId="1F4D409B"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291" w:type="dxa"/>
            <w:shd w:val="clear" w:color="auto" w:fill="FDE9D9" w:themeFill="accent6" w:themeFillTint="33"/>
          </w:tcPr>
          <w:p w14:paraId="71B44B3A"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952" w:type="dxa"/>
            <w:shd w:val="clear" w:color="auto" w:fill="FDE9D9" w:themeFill="accent6" w:themeFillTint="33"/>
          </w:tcPr>
          <w:p w14:paraId="2CB6F6DE"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845" w:type="dxa"/>
            <w:shd w:val="clear" w:color="auto" w:fill="FDE9D9" w:themeFill="accent6" w:themeFillTint="33"/>
          </w:tcPr>
          <w:p w14:paraId="022973CD"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0B4C2816"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r>
      <w:tr w:rsidR="00D5459E" w:rsidRPr="0074266C" w14:paraId="563CDE89" w14:textId="77777777" w:rsidTr="00CD5145">
        <w:tc>
          <w:tcPr>
            <w:tcW w:w="1617" w:type="dxa"/>
            <w:shd w:val="clear" w:color="auto" w:fill="DAEEF3" w:themeFill="accent5" w:themeFillTint="33"/>
          </w:tcPr>
          <w:p w14:paraId="42B11184" w14:textId="77777777" w:rsidR="00376A3F" w:rsidRPr="00D14BC4" w:rsidRDefault="00376A3F" w:rsidP="001E7B11">
            <w:pPr>
              <w:spacing w:line="280" w:lineRule="atLeast"/>
              <w:rPr>
                <w:rFonts w:ascii="Arial" w:hAnsi="Arial"/>
                <w:i/>
                <w:sz w:val="18"/>
                <w:szCs w:val="18"/>
              </w:rPr>
            </w:pPr>
            <w:r w:rsidRPr="00D14BC4">
              <w:rPr>
                <w:rFonts w:ascii="Arial" w:hAnsi="Arial"/>
                <w:i/>
                <w:sz w:val="18"/>
                <w:szCs w:val="18"/>
              </w:rPr>
              <w:t>Klórinnihald</w:t>
            </w:r>
          </w:p>
        </w:tc>
        <w:tc>
          <w:tcPr>
            <w:tcW w:w="1209" w:type="dxa"/>
            <w:shd w:val="clear" w:color="auto" w:fill="FDE9D9" w:themeFill="accent6" w:themeFillTint="33"/>
          </w:tcPr>
          <w:p w14:paraId="1DF9C143" w14:textId="77777777" w:rsidR="00376A3F" w:rsidRPr="0074266C" w:rsidRDefault="00F66DBD" w:rsidP="002E134D">
            <w:pPr>
              <w:jc w:val="center"/>
              <w:rPr>
                <w:rFonts w:ascii="Calibri" w:eastAsia="Calibri" w:hAnsi="Calibri"/>
                <w:sz w:val="22"/>
                <w:szCs w:val="22"/>
              </w:rPr>
            </w:pPr>
            <w:r>
              <w:rPr>
                <w:rFonts w:ascii="Calibri" w:eastAsia="Calibri" w:hAnsi="Calibri"/>
                <w:sz w:val="22"/>
                <w:szCs w:val="22"/>
              </w:rPr>
              <w:t>-</w:t>
            </w:r>
          </w:p>
        </w:tc>
        <w:tc>
          <w:tcPr>
            <w:tcW w:w="1103" w:type="dxa"/>
            <w:shd w:val="clear" w:color="auto" w:fill="FDE9D9" w:themeFill="accent6" w:themeFillTint="33"/>
          </w:tcPr>
          <w:p w14:paraId="1177DECA" w14:textId="77777777" w:rsidR="00376A3F" w:rsidRPr="0074266C" w:rsidRDefault="00F66DBD" w:rsidP="002E134D">
            <w:pPr>
              <w:jc w:val="center"/>
              <w:rPr>
                <w:rFonts w:ascii="Calibri" w:eastAsia="Calibri" w:hAnsi="Calibri"/>
                <w:sz w:val="22"/>
                <w:szCs w:val="22"/>
              </w:rPr>
            </w:pPr>
            <w:r>
              <w:rPr>
                <w:rFonts w:ascii="Calibri" w:eastAsia="Calibri" w:hAnsi="Calibri"/>
                <w:sz w:val="22"/>
                <w:szCs w:val="22"/>
              </w:rPr>
              <w:t>-</w:t>
            </w:r>
          </w:p>
        </w:tc>
        <w:tc>
          <w:tcPr>
            <w:tcW w:w="1291" w:type="dxa"/>
            <w:shd w:val="clear" w:color="auto" w:fill="FDE9D9" w:themeFill="accent6" w:themeFillTint="33"/>
          </w:tcPr>
          <w:p w14:paraId="3EAAAEBE" w14:textId="77777777" w:rsidR="00376A3F" w:rsidRPr="0074266C" w:rsidRDefault="00F66DBD" w:rsidP="002E134D">
            <w:pPr>
              <w:jc w:val="center"/>
              <w:rPr>
                <w:rFonts w:ascii="Calibri" w:eastAsia="Calibri" w:hAnsi="Calibri"/>
                <w:sz w:val="22"/>
                <w:szCs w:val="22"/>
              </w:rPr>
            </w:pPr>
            <w:r>
              <w:rPr>
                <w:rFonts w:ascii="Calibri" w:eastAsia="Calibri" w:hAnsi="Calibri"/>
                <w:sz w:val="22"/>
                <w:szCs w:val="22"/>
              </w:rPr>
              <w:t>-</w:t>
            </w:r>
          </w:p>
        </w:tc>
        <w:tc>
          <w:tcPr>
            <w:tcW w:w="952" w:type="dxa"/>
            <w:shd w:val="clear" w:color="auto" w:fill="FDE9D9" w:themeFill="accent6" w:themeFillTint="33"/>
          </w:tcPr>
          <w:p w14:paraId="34FE942D" w14:textId="77777777" w:rsidR="00376A3F" w:rsidRPr="0074266C" w:rsidRDefault="00F66DBD" w:rsidP="002E134D">
            <w:pPr>
              <w:jc w:val="center"/>
              <w:rPr>
                <w:rFonts w:ascii="Calibri" w:eastAsia="Calibri" w:hAnsi="Calibri"/>
                <w:sz w:val="22"/>
                <w:szCs w:val="22"/>
              </w:rPr>
            </w:pPr>
            <w:r>
              <w:rPr>
                <w:rFonts w:ascii="Calibri" w:eastAsia="Calibri" w:hAnsi="Calibri"/>
                <w:sz w:val="22"/>
                <w:szCs w:val="22"/>
              </w:rPr>
              <w:t>-</w:t>
            </w:r>
          </w:p>
        </w:tc>
        <w:tc>
          <w:tcPr>
            <w:tcW w:w="845" w:type="dxa"/>
            <w:shd w:val="clear" w:color="auto" w:fill="FDE9D9" w:themeFill="accent6" w:themeFillTint="33"/>
          </w:tcPr>
          <w:p w14:paraId="2587646E" w14:textId="77777777" w:rsidR="00376A3F" w:rsidRPr="0074266C" w:rsidRDefault="00F66DBD" w:rsidP="002E134D">
            <w:pPr>
              <w:jc w:val="center"/>
              <w:rPr>
                <w:rFonts w:ascii="Calibri" w:eastAsia="Calibri" w:hAnsi="Calibri"/>
                <w:sz w:val="22"/>
                <w:szCs w:val="22"/>
              </w:rPr>
            </w:pPr>
            <w:r>
              <w:rPr>
                <w:rFonts w:ascii="Calibri" w:eastAsia="Calibri" w:hAnsi="Calibri"/>
                <w:sz w:val="22"/>
                <w:szCs w:val="22"/>
              </w:rPr>
              <w:t>-</w:t>
            </w:r>
          </w:p>
        </w:tc>
        <w:tc>
          <w:tcPr>
            <w:tcW w:w="1342" w:type="dxa"/>
            <w:shd w:val="clear" w:color="auto" w:fill="FDE9D9" w:themeFill="accent6" w:themeFillTint="33"/>
          </w:tcPr>
          <w:p w14:paraId="5624A0E2" w14:textId="126DCA3D" w:rsidR="00376A3F" w:rsidRPr="0074266C" w:rsidRDefault="00FE50E3" w:rsidP="00327590">
            <w:pPr>
              <w:jc w:val="center"/>
              <w:rPr>
                <w:rFonts w:ascii="Calibri" w:eastAsia="Calibri" w:hAnsi="Calibri"/>
                <w:sz w:val="22"/>
                <w:szCs w:val="22"/>
              </w:rPr>
            </w:pPr>
            <w:r>
              <w:rPr>
                <w:rFonts w:ascii="Calibri" w:eastAsia="Calibri" w:hAnsi="Calibri"/>
                <w:sz w:val="22"/>
                <w:szCs w:val="22"/>
              </w:rPr>
              <w:t>x</w:t>
            </w:r>
            <w:r w:rsidRPr="00DC5D01">
              <w:rPr>
                <w:rFonts w:ascii="Calibri" w:eastAsia="Calibri" w:hAnsi="Calibri"/>
                <w:sz w:val="22"/>
                <w:szCs w:val="22"/>
                <w:vertAlign w:val="superscript"/>
              </w:rPr>
              <w:t>3</w:t>
            </w:r>
          </w:p>
        </w:tc>
      </w:tr>
      <w:tr w:rsidR="00D5459E" w:rsidRPr="0074266C" w14:paraId="1DC8E758" w14:textId="77777777" w:rsidTr="00CD5145">
        <w:tc>
          <w:tcPr>
            <w:tcW w:w="1617" w:type="dxa"/>
            <w:shd w:val="clear" w:color="auto" w:fill="DAEEF3" w:themeFill="accent5" w:themeFillTint="33"/>
          </w:tcPr>
          <w:p w14:paraId="7831FED7" w14:textId="48D63C89" w:rsidR="00376A3F" w:rsidRPr="00D14BC4" w:rsidRDefault="00376A3F" w:rsidP="000F2EB7">
            <w:pPr>
              <w:spacing w:line="280" w:lineRule="atLeast"/>
              <w:rPr>
                <w:rFonts w:ascii="Arial" w:hAnsi="Arial"/>
                <w:i/>
                <w:sz w:val="18"/>
                <w:szCs w:val="18"/>
              </w:rPr>
            </w:pPr>
            <w:r w:rsidRPr="00D14BC4">
              <w:rPr>
                <w:rFonts w:ascii="Arial" w:hAnsi="Arial"/>
                <w:i/>
                <w:sz w:val="18"/>
                <w:szCs w:val="18"/>
              </w:rPr>
              <w:t>Lífræn efni</w:t>
            </w:r>
            <w:r w:rsidR="00951B19">
              <w:rPr>
                <w:rFonts w:ascii="Arial" w:hAnsi="Arial"/>
                <w:i/>
                <w:sz w:val="18"/>
                <w:szCs w:val="18"/>
              </w:rPr>
              <w:t>,</w:t>
            </w:r>
          </w:p>
          <w:p w14:paraId="310A6C7A" w14:textId="071196E3" w:rsidR="00376A3F" w:rsidRPr="00D14BC4" w:rsidRDefault="002D75ED" w:rsidP="000F2EB7">
            <w:pPr>
              <w:spacing w:line="280" w:lineRule="atLeast"/>
              <w:rPr>
                <w:rFonts w:ascii="Arial" w:hAnsi="Arial"/>
                <w:i/>
                <w:sz w:val="18"/>
                <w:szCs w:val="18"/>
              </w:rPr>
            </w:pPr>
            <w:r>
              <w:rPr>
                <w:rFonts w:ascii="Arial" w:hAnsi="Arial"/>
                <w:i/>
                <w:sz w:val="18"/>
                <w:szCs w:val="18"/>
              </w:rPr>
              <w:t>húmusinnihald</w:t>
            </w:r>
            <w:r w:rsidR="00724948">
              <w:rPr>
                <w:rFonts w:ascii="Arial" w:hAnsi="Arial"/>
                <w:i/>
                <w:sz w:val="18"/>
                <w:szCs w:val="18"/>
                <w:vertAlign w:val="superscript"/>
              </w:rPr>
              <w:t>5</w:t>
            </w:r>
          </w:p>
        </w:tc>
        <w:tc>
          <w:tcPr>
            <w:tcW w:w="1209" w:type="dxa"/>
            <w:shd w:val="clear" w:color="auto" w:fill="FDE9D9" w:themeFill="accent6" w:themeFillTint="33"/>
          </w:tcPr>
          <w:p w14:paraId="77F04D39"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103" w:type="dxa"/>
            <w:shd w:val="clear" w:color="auto" w:fill="FDE9D9" w:themeFill="accent6" w:themeFillTint="33"/>
          </w:tcPr>
          <w:p w14:paraId="58CF79CB"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291" w:type="dxa"/>
            <w:shd w:val="clear" w:color="auto" w:fill="FDE9D9" w:themeFill="accent6" w:themeFillTint="33"/>
          </w:tcPr>
          <w:p w14:paraId="2A8044C7"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952" w:type="dxa"/>
            <w:shd w:val="clear" w:color="auto" w:fill="FDE9D9" w:themeFill="accent6" w:themeFillTint="33"/>
          </w:tcPr>
          <w:p w14:paraId="15DB4C94"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845" w:type="dxa"/>
            <w:shd w:val="clear" w:color="auto" w:fill="FDE9D9" w:themeFill="accent6" w:themeFillTint="33"/>
          </w:tcPr>
          <w:p w14:paraId="19158BC8"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c>
          <w:tcPr>
            <w:tcW w:w="1342" w:type="dxa"/>
            <w:shd w:val="clear" w:color="auto" w:fill="FDE9D9" w:themeFill="accent6" w:themeFillTint="33"/>
          </w:tcPr>
          <w:p w14:paraId="6AA02C1B" w14:textId="77777777" w:rsidR="00376A3F" w:rsidRPr="0074266C" w:rsidRDefault="00376A3F" w:rsidP="002E134D">
            <w:pPr>
              <w:jc w:val="center"/>
              <w:rPr>
                <w:rFonts w:ascii="Calibri" w:eastAsia="Calibri" w:hAnsi="Calibri"/>
                <w:sz w:val="22"/>
                <w:szCs w:val="22"/>
              </w:rPr>
            </w:pPr>
            <w:r>
              <w:rPr>
                <w:rFonts w:ascii="Calibri" w:eastAsia="Calibri" w:hAnsi="Calibri"/>
                <w:sz w:val="22"/>
                <w:szCs w:val="22"/>
              </w:rPr>
              <w:t>x</w:t>
            </w:r>
          </w:p>
        </w:tc>
      </w:tr>
    </w:tbl>
    <w:p w14:paraId="469AB7CC" w14:textId="09EE49B5" w:rsidR="00327590" w:rsidRDefault="00327590" w:rsidP="00327590">
      <w:pPr>
        <w:pStyle w:val="FootnoteText"/>
      </w:pPr>
      <w:r>
        <w:rPr>
          <w:rStyle w:val="FootnoteReference"/>
        </w:rPr>
        <w:t>1</w:t>
      </w:r>
      <w:r>
        <w:t xml:space="preserve"> </w:t>
      </w:r>
      <w:r w:rsidR="002119E4">
        <w:t xml:space="preserve">Ef sjónmat bendir til að þess sé þörf. </w:t>
      </w:r>
      <w:r>
        <w:t>Mæld með þjálniprófi</w:t>
      </w:r>
      <w:r w:rsidR="00AE0776">
        <w:t xml:space="preserve"> eða rýrnunarprófi</w:t>
      </w:r>
      <w:r>
        <w:t xml:space="preserve"> sem er</w:t>
      </w:r>
      <w:r w:rsidR="00923270">
        <w:t>u</w:t>
      </w:r>
      <w:r>
        <w:t xml:space="preserve"> ekki prófanastað</w:t>
      </w:r>
      <w:r w:rsidR="00923270">
        <w:t>lar</w:t>
      </w:r>
      <w:r>
        <w:t xml:space="preserve"> undir CEN</w:t>
      </w:r>
      <w:r w:rsidR="00EE1F43">
        <w:t xml:space="preserve"> </w:t>
      </w:r>
      <w:r>
        <w:t>TC 154</w:t>
      </w:r>
    </w:p>
    <w:p w14:paraId="1D178DD5" w14:textId="3753D622" w:rsidR="00327590" w:rsidRPr="001E2193" w:rsidRDefault="00327590" w:rsidP="00327590">
      <w:pPr>
        <w:pStyle w:val="FootnoteText"/>
      </w:pPr>
      <w:r>
        <w:rPr>
          <w:rStyle w:val="FootnoteReference"/>
        </w:rPr>
        <w:t>2</w:t>
      </w:r>
      <w:r>
        <w:t xml:space="preserve"> Ef um vegsteypu er að ræða</w:t>
      </w:r>
    </w:p>
    <w:p w14:paraId="08A43044" w14:textId="1D968B72" w:rsidR="00327590" w:rsidRDefault="00327590" w:rsidP="00327590">
      <w:pPr>
        <w:pStyle w:val="FootnoteText"/>
      </w:pPr>
      <w:r>
        <w:rPr>
          <w:rStyle w:val="FootnoteReference"/>
        </w:rPr>
        <w:t>3</w:t>
      </w:r>
      <w:r>
        <w:t xml:space="preserve"> Ef um sjávarefni er að ræða</w:t>
      </w:r>
    </w:p>
    <w:p w14:paraId="1AE28BC5" w14:textId="0018B49A" w:rsidR="00724948" w:rsidRDefault="00724948" w:rsidP="00327590">
      <w:pPr>
        <w:pStyle w:val="FootnoteText"/>
      </w:pPr>
      <w:r w:rsidRPr="00724948">
        <w:rPr>
          <w:vertAlign w:val="superscript"/>
        </w:rPr>
        <w:t>4</w:t>
      </w:r>
      <w:r>
        <w:t xml:space="preserve"> Ef um malarefni er að ræða</w:t>
      </w:r>
    </w:p>
    <w:p w14:paraId="79C53531" w14:textId="43CC1020" w:rsidR="00724948" w:rsidRDefault="00724948" w:rsidP="00327590">
      <w:pPr>
        <w:pStyle w:val="FootnoteText"/>
      </w:pPr>
      <w:r>
        <w:rPr>
          <w:vertAlign w:val="superscript"/>
        </w:rPr>
        <w:t>5</w:t>
      </w:r>
      <w:r>
        <w:t xml:space="preserve"> Ef sjónmat bendir til að þess sé þörf</w:t>
      </w:r>
    </w:p>
    <w:p w14:paraId="0414A01D" w14:textId="7C30511C" w:rsidR="00D545DB" w:rsidRPr="00F66DBD" w:rsidRDefault="00D545DB" w:rsidP="00327590">
      <w:pPr>
        <w:pStyle w:val="FootnoteText"/>
      </w:pPr>
      <w:r w:rsidRPr="00D545DB">
        <w:rPr>
          <w:vertAlign w:val="superscript"/>
        </w:rPr>
        <w:t xml:space="preserve">6 </w:t>
      </w:r>
      <w:r>
        <w:t>Ekki hafa enn verið settar fram kröfur um brothlutfall steinefnis í steinsteypu í Efnisgæðaritinu</w:t>
      </w:r>
    </w:p>
    <w:p w14:paraId="146D07C6" w14:textId="77777777" w:rsidR="00327590" w:rsidRDefault="00327590" w:rsidP="00206832">
      <w:pPr>
        <w:jc w:val="both"/>
      </w:pPr>
    </w:p>
    <w:p w14:paraId="5CE6B5E6" w14:textId="158E65F2" w:rsidR="004E4DC1" w:rsidRDefault="00BE0F30" w:rsidP="0098645A">
      <w:pPr>
        <w:ind w:firstLine="284"/>
        <w:jc w:val="both"/>
        <w:rPr>
          <w:rFonts w:ascii="Arial" w:hAnsi="Arial" w:cs="Arial"/>
          <w:b/>
          <w:bCs/>
          <w:i/>
          <w:iCs/>
          <w:sz w:val="28"/>
          <w:szCs w:val="28"/>
        </w:rPr>
      </w:pPr>
      <w:r>
        <w:t>Hafa skal í huga að í viðkomandi köflum</w:t>
      </w:r>
      <w:r w:rsidR="00DC5D01">
        <w:t xml:space="preserve"> í</w:t>
      </w:r>
      <w:r>
        <w:t xml:space="preserve"> </w:t>
      </w:r>
      <w:r w:rsidR="00AE0776">
        <w:t>Efnisgæðaritinu</w:t>
      </w:r>
      <w:r w:rsidR="00DC5D01">
        <w:t xml:space="preserve"> </w:t>
      </w:r>
      <w:r>
        <w:t>eru nánari ákvæði og undantekningar varðandi einstakar prófanir. Þannig getur sjónmat nægt í stað</w:t>
      </w:r>
      <w:r w:rsidR="002D75ED">
        <w:t xml:space="preserve"> mælingar á lífrænum óhreinindum og</w:t>
      </w:r>
      <w:r>
        <w:t xml:space="preserve"> þj</w:t>
      </w:r>
      <w:r w:rsidR="002D75ED">
        <w:t>álni</w:t>
      </w:r>
      <w:r>
        <w:t xml:space="preserve"> og á grundvelli berggreiningar getur í sumum tilfellum verið óþarft að gera styrkleikapróf og/eða frostþolspróf.</w:t>
      </w:r>
      <w:r w:rsidR="0098645A">
        <w:t xml:space="preserve"> Einnig skal bent á að í töflu 2.1 er ekki fjallað um fyllingarefni.</w:t>
      </w:r>
      <w:r w:rsidR="004E4DC1">
        <w:br w:type="page"/>
      </w:r>
    </w:p>
    <w:p w14:paraId="19DD2341" w14:textId="77777777" w:rsidR="00566F6E" w:rsidRPr="00220C65" w:rsidRDefault="0087740E" w:rsidP="00566F6E">
      <w:pPr>
        <w:pStyle w:val="Heading2"/>
      </w:pPr>
      <w:bookmarkStart w:id="19" w:name="_Toc52971435"/>
      <w:r>
        <w:lastRenderedPageBreak/>
        <w:t>Gerðarprófanir og e</w:t>
      </w:r>
      <w:r w:rsidR="00CD05DF">
        <w:t>ftirlit með f</w:t>
      </w:r>
      <w:r w:rsidR="00566F6E" w:rsidRPr="00220C65">
        <w:t>ramleiðslu</w:t>
      </w:r>
      <w:r w:rsidR="00844F06">
        <w:t xml:space="preserve"> steinefna</w:t>
      </w:r>
      <w:r>
        <w:t xml:space="preserve"> á markað</w:t>
      </w:r>
      <w:bookmarkEnd w:id="19"/>
    </w:p>
    <w:p w14:paraId="539E4144" w14:textId="77777777" w:rsidR="009C5758" w:rsidRPr="00220C65" w:rsidRDefault="009C5758" w:rsidP="009C5758">
      <w:pPr>
        <w:rPr>
          <w:rFonts w:ascii="Arial" w:hAnsi="Arial" w:cs="Arial"/>
        </w:rPr>
      </w:pPr>
    </w:p>
    <w:p w14:paraId="793AA092" w14:textId="29161431" w:rsidR="009074C1" w:rsidRDefault="00844F06" w:rsidP="00E6134D">
      <w:pPr>
        <w:ind w:firstLine="284"/>
        <w:jc w:val="both"/>
      </w:pPr>
      <w:r>
        <w:t xml:space="preserve">Evrópustaðlar setja fram lágmarkskröfur um </w:t>
      </w:r>
      <w:r w:rsidR="0087740E">
        <w:t xml:space="preserve">gerðarprófanir og </w:t>
      </w:r>
      <w:r>
        <w:t xml:space="preserve">tíðni </w:t>
      </w:r>
      <w:r w:rsidR="00E2318F">
        <w:t>prófana</w:t>
      </w:r>
      <w:r>
        <w:t xml:space="preserve"> á steinefnum samhliða framleiðslu þeirra til að </w:t>
      </w:r>
      <w:r w:rsidR="00E2318F">
        <w:t>framleiðandi geti sett fram yfirlýsingu</w:t>
      </w:r>
      <w:r w:rsidR="009A420D">
        <w:t xml:space="preserve"> um eiginleika</w:t>
      </w:r>
      <w:r w:rsidR="00943C01">
        <w:t xml:space="preserve"> (</w:t>
      </w:r>
      <w:r w:rsidR="00AE0776">
        <w:t>e.</w:t>
      </w:r>
      <w:r w:rsidR="00AA61A1">
        <w:t xml:space="preserve"> Declaration of Performance,</w:t>
      </w:r>
      <w:r w:rsidR="00AE0776">
        <w:t xml:space="preserve"> </w:t>
      </w:r>
      <w:r w:rsidR="00943C01">
        <w:t>DoP)</w:t>
      </w:r>
      <w:r w:rsidR="00E2318F">
        <w:t xml:space="preserve"> og </w:t>
      </w:r>
      <w:r>
        <w:t>CE merkingu</w:t>
      </w:r>
      <w:r w:rsidR="00E2318F">
        <w:t xml:space="preserve"> viðkomandi efnisflokka</w:t>
      </w:r>
      <w:r>
        <w:t xml:space="preserve">. Vegagerðin sem kaupandi steinefna á markaði setur fram eigin kröfur um tíðni </w:t>
      </w:r>
      <w:r w:rsidR="00E2318F">
        <w:t>prófana</w:t>
      </w:r>
      <w:r w:rsidR="008A3331">
        <w:t xml:space="preserve"> við framleiðslueftirlit</w:t>
      </w:r>
      <w:r>
        <w:t xml:space="preserve"> </w:t>
      </w:r>
      <w:r w:rsidR="008A3331">
        <w:t xml:space="preserve">í hverju verki fyrir sig en reiknar inn í þá tíðni </w:t>
      </w:r>
      <w:r w:rsidR="00A83DFC">
        <w:t>prófana</w:t>
      </w:r>
      <w:r w:rsidR="00724948">
        <w:t xml:space="preserve"> í</w:t>
      </w:r>
      <w:r w:rsidR="008A3331">
        <w:t xml:space="preserve"> </w:t>
      </w:r>
      <w:r w:rsidR="00E2318F">
        <w:t>yfirlýsingu</w:t>
      </w:r>
      <w:r w:rsidR="008A3331">
        <w:t xml:space="preserve"> framleiðanda</w:t>
      </w:r>
      <w:r w:rsidR="009A420D">
        <w:t xml:space="preserve"> um eiginleika steinefna</w:t>
      </w:r>
      <w:r w:rsidR="00A83DFC">
        <w:t>.</w:t>
      </w:r>
      <w:r w:rsidR="008A3331">
        <w:t xml:space="preserve"> </w:t>
      </w:r>
      <w:r w:rsidR="00A83DFC">
        <w:t>Þ</w:t>
      </w:r>
      <w:r w:rsidR="008A3331">
        <w:t xml:space="preserve">annig </w:t>
      </w:r>
      <w:r w:rsidR="00A83DFC">
        <w:t>er</w:t>
      </w:r>
      <w:r w:rsidR="008A3331">
        <w:t xml:space="preserve"> einungis krafist viðbótar</w:t>
      </w:r>
      <w:r w:rsidR="00A83DFC">
        <w:t>prófana</w:t>
      </w:r>
      <w:r w:rsidR="008A3331">
        <w:t xml:space="preserve"> ef tíðnitöflurnar í þessu riti kveða á um aukna</w:t>
      </w:r>
      <w:r w:rsidR="00C90D70">
        <w:t xml:space="preserve"> tíðni miðað við lágmarkstíðni E</w:t>
      </w:r>
      <w:r w:rsidR="008A3331">
        <w:t>vrópustaðla.</w:t>
      </w:r>
      <w:r>
        <w:t xml:space="preserve"> </w:t>
      </w:r>
      <w:r w:rsidR="008A3331">
        <w:rPr>
          <w:rFonts w:cs="Helvetica-Bold"/>
          <w:bCs/>
        </w:rPr>
        <w:t xml:space="preserve">Í </w:t>
      </w:r>
      <w:r w:rsidR="00943C01">
        <w:rPr>
          <w:rFonts w:cs="Helvetica-Bold"/>
          <w:bCs/>
        </w:rPr>
        <w:t>megin</w:t>
      </w:r>
      <w:r w:rsidR="008A3331">
        <w:rPr>
          <w:rFonts w:cs="Helvetica-Bold"/>
          <w:bCs/>
        </w:rPr>
        <w:t xml:space="preserve">köflum </w:t>
      </w:r>
      <w:r w:rsidR="00724948">
        <w:rPr>
          <w:rFonts w:cs="Helvetica-Bold"/>
          <w:bCs/>
        </w:rPr>
        <w:t>Efnisgæða</w:t>
      </w:r>
      <w:r w:rsidR="000017AE">
        <w:t>rits</w:t>
      </w:r>
      <w:r w:rsidR="00943C01">
        <w:t>ins</w:t>
      </w:r>
      <w:r w:rsidR="000017AE">
        <w:t xml:space="preserve">, </w:t>
      </w:r>
      <w:r w:rsidR="008A3331">
        <w:rPr>
          <w:rFonts w:cs="Helvetica-Bold"/>
          <w:bCs/>
        </w:rPr>
        <w:t>sem fjalla um einstök lög vegarins</w:t>
      </w:r>
      <w:r w:rsidR="000017AE">
        <w:rPr>
          <w:rFonts w:cs="Helvetica-Bold"/>
          <w:bCs/>
        </w:rPr>
        <w:t>,</w:t>
      </w:r>
      <w:r w:rsidR="008A3331">
        <w:rPr>
          <w:rFonts w:cs="Helvetica-Bold"/>
          <w:bCs/>
        </w:rPr>
        <w:t xml:space="preserve"> eru töflur sem sýna kröfur Vegagerðarinnar um lágmarkstíðni prófana á steinefnum til vegagerðar á framleiðslustigi. Í tíðnitöflum </w:t>
      </w:r>
      <w:r w:rsidR="00724948">
        <w:rPr>
          <w:rFonts w:cs="Helvetica-Bold"/>
          <w:bCs/>
        </w:rPr>
        <w:t>Efnisgæða</w:t>
      </w:r>
      <w:r w:rsidR="008A3331">
        <w:rPr>
          <w:rFonts w:cs="Helvetica-Bold"/>
          <w:bCs/>
        </w:rPr>
        <w:t>ritsins er miðað við fjölda prófana miðað við framleitt magn en auk þess tekið fram að prófanir skuli ekki gera sjaldnar en einu sinni í verki, einu sinni í námu eða tvisvar á því ári sem vinnsla fer fram.</w:t>
      </w:r>
      <w:r w:rsidR="003C66CB" w:rsidRPr="003C66CB">
        <w:rPr>
          <w:rFonts w:cs="Helvetica-Bold"/>
          <w:bCs/>
        </w:rPr>
        <w:t xml:space="preserve"> </w:t>
      </w:r>
      <w:r w:rsidR="003C66CB">
        <w:rPr>
          <w:rFonts w:cs="Helvetica-Bold"/>
          <w:bCs/>
        </w:rPr>
        <w:t xml:space="preserve">Evrópustaðlar bjóða í sumum tilfellum upp á fleiri en eina </w:t>
      </w:r>
      <w:r w:rsidR="009C27D3">
        <w:rPr>
          <w:rFonts w:cs="Helvetica-Bold"/>
          <w:bCs/>
        </w:rPr>
        <w:t>prófunar</w:t>
      </w:r>
      <w:r w:rsidR="003C66CB">
        <w:rPr>
          <w:rFonts w:cs="Helvetica-Bold"/>
          <w:bCs/>
        </w:rPr>
        <w:t xml:space="preserve">aðferð </w:t>
      </w:r>
      <w:r w:rsidR="00724948">
        <w:rPr>
          <w:rFonts w:cs="Helvetica-Bold"/>
          <w:bCs/>
        </w:rPr>
        <w:t>sem</w:t>
      </w:r>
      <w:r w:rsidR="003C66CB">
        <w:rPr>
          <w:rFonts w:cs="Helvetica-Bold"/>
          <w:bCs/>
        </w:rPr>
        <w:t xml:space="preserve"> mæla </w:t>
      </w:r>
      <w:r w:rsidR="00724948">
        <w:rPr>
          <w:rFonts w:cs="Helvetica-Bold"/>
          <w:bCs/>
        </w:rPr>
        <w:t>svipaða</w:t>
      </w:r>
      <w:r w:rsidR="003C66CB">
        <w:rPr>
          <w:rFonts w:cs="Helvetica-Bold"/>
          <w:bCs/>
        </w:rPr>
        <w:t xml:space="preserve"> eiginleik</w:t>
      </w:r>
      <w:r w:rsidR="00724948">
        <w:rPr>
          <w:rFonts w:cs="Helvetica-Bold"/>
          <w:bCs/>
        </w:rPr>
        <w:t>a steinefna (þó ekki nákvæmlega þá sömu)</w:t>
      </w:r>
      <w:r w:rsidR="003C66CB">
        <w:rPr>
          <w:rFonts w:cs="Helvetica-Bold"/>
          <w:bCs/>
        </w:rPr>
        <w:t>. Þær prófunaraðferðir sem Vegagerðin hefur valið að nota</w:t>
      </w:r>
      <w:r w:rsidR="001D1EC9">
        <w:rPr>
          <w:rFonts w:cs="Helvetica-Bold"/>
          <w:bCs/>
        </w:rPr>
        <w:t xml:space="preserve"> og taldar eru upp í töflu 2.2</w:t>
      </w:r>
      <w:r w:rsidR="003C66CB">
        <w:rPr>
          <w:rFonts w:cs="Helvetica-Bold"/>
          <w:bCs/>
        </w:rPr>
        <w:t xml:space="preserve"> koma fram í viðkomandi köflum og flæðiritum í megintexta </w:t>
      </w:r>
      <w:r w:rsidR="001D1EC9">
        <w:rPr>
          <w:rFonts w:cs="Helvetica-Bold"/>
          <w:bCs/>
        </w:rPr>
        <w:t>Efnisgæða</w:t>
      </w:r>
      <w:r w:rsidR="003C66CB">
        <w:rPr>
          <w:rFonts w:cs="Helvetica-Bold"/>
          <w:bCs/>
        </w:rPr>
        <w:t>rits</w:t>
      </w:r>
      <w:r w:rsidR="001D1EC9">
        <w:rPr>
          <w:rFonts w:cs="Helvetica-Bold"/>
          <w:bCs/>
        </w:rPr>
        <w:t>ins og</w:t>
      </w:r>
      <w:r w:rsidR="0098645A">
        <w:rPr>
          <w:rFonts w:cs="Helvetica-Bold"/>
          <w:bCs/>
        </w:rPr>
        <w:t xml:space="preserve"> </w:t>
      </w:r>
      <w:r w:rsidR="009C27D3">
        <w:rPr>
          <w:rFonts w:cs="Helvetica-Bold"/>
          <w:bCs/>
        </w:rPr>
        <w:t xml:space="preserve">eru </w:t>
      </w:r>
      <w:r w:rsidR="0098645A">
        <w:rPr>
          <w:rFonts w:cs="Helvetica-Bold"/>
          <w:bCs/>
        </w:rPr>
        <w:t>í samræmi við fylgistaðal ÍST 76</w:t>
      </w:r>
      <w:r w:rsidR="003C66CB">
        <w:rPr>
          <w:rFonts w:cs="Helvetica-Bold"/>
          <w:bCs/>
        </w:rPr>
        <w:t xml:space="preserve">. </w:t>
      </w:r>
    </w:p>
    <w:p w14:paraId="592EFD32" w14:textId="6461F795" w:rsidR="0076092F" w:rsidRPr="001115F5" w:rsidRDefault="0076092F" w:rsidP="001115F5">
      <w:pPr>
        <w:ind w:firstLine="284"/>
        <w:jc w:val="both"/>
        <w:rPr>
          <w:iCs/>
        </w:rPr>
      </w:pPr>
      <w:r w:rsidRPr="00327590">
        <w:t>Tafla 2.2</w:t>
      </w:r>
      <w:r w:rsidR="00B20506" w:rsidRPr="00327590">
        <w:t xml:space="preserve"> hér að neðan er unnin</w:t>
      </w:r>
      <w:r w:rsidR="004D5085" w:rsidRPr="00327590">
        <w:t xml:space="preserve"> upp úr </w:t>
      </w:r>
      <w:r w:rsidR="00B20506" w:rsidRPr="00327590">
        <w:t>töflu</w:t>
      </w:r>
      <w:r w:rsidR="001115F5">
        <w:t>m</w:t>
      </w:r>
      <w:r w:rsidR="00B20506" w:rsidRPr="00327590">
        <w:t xml:space="preserve"> í </w:t>
      </w:r>
      <w:r w:rsidR="001115F5">
        <w:t xml:space="preserve">framleiðslustöðlunum um </w:t>
      </w:r>
      <w:r w:rsidR="001115F5" w:rsidRPr="002C7BF3">
        <w:rPr>
          <w:iCs/>
        </w:rPr>
        <w:t>m</w:t>
      </w:r>
      <w:r w:rsidR="001D1EC9" w:rsidRPr="002C7BF3">
        <w:rPr>
          <w:iCs/>
        </w:rPr>
        <w:t>at og staðfesting</w:t>
      </w:r>
      <w:r w:rsidR="001115F5" w:rsidRPr="002C7BF3">
        <w:rPr>
          <w:iCs/>
        </w:rPr>
        <w:t>u</w:t>
      </w:r>
      <w:r w:rsidR="001D1EC9" w:rsidRPr="002C7BF3">
        <w:rPr>
          <w:iCs/>
        </w:rPr>
        <w:t xml:space="preserve"> á gæðastöðugleika steinefna – gerðarprófun og framleiðslueftirlit</w:t>
      </w:r>
      <w:r w:rsidR="001115F5">
        <w:rPr>
          <w:iCs/>
        </w:rPr>
        <w:t xml:space="preserve"> </w:t>
      </w:r>
      <w:r w:rsidR="001D1EC9">
        <w:t xml:space="preserve">(e. </w:t>
      </w:r>
      <w:r w:rsidR="00327590" w:rsidRPr="00327590">
        <w:t>Assessment and Verification of the Constancy of Performance (AVCP) of aggregates – Type testing and Factory Production Control</w:t>
      </w:r>
      <w:r w:rsidR="001D1EC9">
        <w:t>)</w:t>
      </w:r>
      <w:r w:rsidR="00B20506" w:rsidRPr="00C90D70">
        <w:rPr>
          <w:rFonts w:cs="Helvetica-Bold"/>
          <w:bCs/>
        </w:rPr>
        <w:t>.</w:t>
      </w:r>
      <w:r w:rsidR="00B20506" w:rsidRPr="008B4BD5">
        <w:rPr>
          <w:rFonts w:cs="Helvetica-Bold"/>
          <w:bCs/>
        </w:rPr>
        <w:t xml:space="preserve"> </w:t>
      </w:r>
      <w:r w:rsidR="00A8210F">
        <w:rPr>
          <w:rFonts w:cs="Helvetica-Bold"/>
          <w:bCs/>
        </w:rPr>
        <w:t xml:space="preserve">Sams konar tafla er í fylgistaðli ÍST 76. </w:t>
      </w:r>
      <w:r>
        <w:rPr>
          <w:rFonts w:cs="Helvetica-Bold"/>
          <w:bCs/>
        </w:rPr>
        <w:t xml:space="preserve">Taflan </w:t>
      </w:r>
      <w:r>
        <w:t xml:space="preserve">sýnir lágmarkstíðni prófana á steinefnum og tekur </w:t>
      </w:r>
      <w:r>
        <w:rPr>
          <w:rFonts w:cs="Helvetica-Bold"/>
          <w:bCs/>
        </w:rPr>
        <w:t>Vegagerðin</w:t>
      </w:r>
      <w:r w:rsidR="003C66CB">
        <w:rPr>
          <w:rFonts w:cs="Helvetica-Bold"/>
          <w:bCs/>
        </w:rPr>
        <w:t xml:space="preserve"> eins og áður sagði</w:t>
      </w:r>
      <w:r>
        <w:rPr>
          <w:rFonts w:cs="Helvetica-Bold"/>
          <w:bCs/>
        </w:rPr>
        <w:t xml:space="preserve"> mið af töflunni við kaup á steinefnum frá framleiðendum</w:t>
      </w:r>
      <w:r w:rsidR="00264308">
        <w:rPr>
          <w:rFonts w:cs="Helvetica-Bold"/>
          <w:bCs/>
        </w:rPr>
        <w:t xml:space="preserve"> með yfirlýsingu</w:t>
      </w:r>
      <w:r w:rsidR="009A420D">
        <w:rPr>
          <w:rFonts w:cs="Helvetica-Bold"/>
          <w:bCs/>
        </w:rPr>
        <w:t xml:space="preserve"> um eiginleika þeirra</w:t>
      </w:r>
      <w:r w:rsidR="001D1EC9">
        <w:rPr>
          <w:rFonts w:cs="Helvetica-Bold"/>
          <w:bCs/>
        </w:rPr>
        <w:t xml:space="preserve"> (</w:t>
      </w:r>
      <w:r w:rsidR="00BA3E8D">
        <w:rPr>
          <w:rFonts w:cs="Helvetica-Bold"/>
          <w:bCs/>
        </w:rPr>
        <w:t xml:space="preserve">e. </w:t>
      </w:r>
      <w:r w:rsidR="001D1EC9">
        <w:rPr>
          <w:rFonts w:cs="Helvetica-Bold"/>
          <w:bCs/>
        </w:rPr>
        <w:t>DoP)</w:t>
      </w:r>
      <w:r>
        <w:rPr>
          <w:rFonts w:cs="Helvetica-Bold"/>
          <w:bCs/>
        </w:rPr>
        <w:t>.</w:t>
      </w:r>
    </w:p>
    <w:p w14:paraId="7AB44040" w14:textId="77777777" w:rsidR="00221BB1" w:rsidRDefault="00221BB1">
      <w:pPr>
        <w:rPr>
          <w:rFonts w:cs="Helvetica-Bold"/>
          <w:b/>
          <w:bCs/>
        </w:rPr>
      </w:pPr>
      <w:r>
        <w:rPr>
          <w:rFonts w:cs="Helvetica-Bold"/>
          <w:b/>
          <w:bCs/>
        </w:rPr>
        <w:br w:type="page"/>
      </w:r>
    </w:p>
    <w:p w14:paraId="7011D653" w14:textId="7C76D290" w:rsidR="00D76E64" w:rsidRDefault="00D76E64" w:rsidP="00BA3E8D">
      <w:pPr>
        <w:spacing w:after="240"/>
        <w:jc w:val="both"/>
        <w:rPr>
          <w:rFonts w:cs="Helvetica-Bold"/>
          <w:bCs/>
        </w:rPr>
      </w:pPr>
      <w:r w:rsidRPr="00550912">
        <w:rPr>
          <w:rFonts w:cs="Helvetica-Bold"/>
          <w:b/>
          <w:bCs/>
        </w:rPr>
        <w:lastRenderedPageBreak/>
        <w:t>Tafla 2.2</w:t>
      </w:r>
      <w:r w:rsidR="008854B5">
        <w:rPr>
          <w:rFonts w:cs="Helvetica-Bold"/>
          <w:b/>
          <w:bCs/>
        </w:rPr>
        <w:t>:</w:t>
      </w:r>
      <w:r w:rsidR="0076092F">
        <w:rPr>
          <w:rFonts w:cs="Helvetica-Bold"/>
          <w:bCs/>
        </w:rPr>
        <w:t xml:space="preserve"> </w:t>
      </w:r>
      <w:r w:rsidR="00F915B2">
        <w:rPr>
          <w:rFonts w:cs="Helvetica-Bold"/>
          <w:bCs/>
        </w:rPr>
        <w:t xml:space="preserve">Gerðarprófanir og </w:t>
      </w:r>
      <w:r w:rsidR="00AA0E1E">
        <w:rPr>
          <w:rFonts w:cs="Helvetica-Bold"/>
          <w:bCs/>
        </w:rPr>
        <w:t>l</w:t>
      </w:r>
      <w:r w:rsidR="0076092F">
        <w:t>ágmarkstíðni prófana</w:t>
      </w:r>
      <w:r w:rsidR="00F915B2">
        <w:t xml:space="preserve"> við framleiðslueftirlit</w:t>
      </w:r>
      <w:r w:rsidR="0076092F">
        <w:t xml:space="preserve"> á steinefnum </w:t>
      </w:r>
      <w:r w:rsidR="0076092F">
        <w:rPr>
          <w:rFonts w:cs="Helvetica-Bold"/>
          <w:bCs/>
        </w:rPr>
        <w:t>frá vottuðum framleiðendum á markaði</w:t>
      </w:r>
      <w:r w:rsidR="00D013DB">
        <w:rPr>
          <w:rFonts w:cs="Helvetica-Bold"/>
          <w:bCs/>
        </w:rPr>
        <w:t xml:space="preserve"> skv.</w:t>
      </w:r>
      <w:r w:rsidR="001115F5">
        <w:rPr>
          <w:rFonts w:cs="Helvetica-Bold"/>
          <w:bCs/>
        </w:rPr>
        <w:t xml:space="preserve"> framleiðslustöðlunum</w:t>
      </w:r>
      <w:r w:rsidR="00D013DB">
        <w:rPr>
          <w:rFonts w:cs="Helvetica-Bold"/>
          <w:bCs/>
        </w:rPr>
        <w:t xml:space="preserve"> </w:t>
      </w:r>
    </w:p>
    <w:p w14:paraId="247114E7" w14:textId="791AF7F6" w:rsidR="00004ED7" w:rsidRDefault="00004ED7" w:rsidP="00BA3E8D">
      <w:pPr>
        <w:spacing w:after="240"/>
        <w:jc w:val="both"/>
        <w:rPr>
          <w:rFonts w:cs="Helvetica-Bold"/>
          <w:bCs/>
        </w:rPr>
      </w:pPr>
      <w:r w:rsidRPr="00004ED7">
        <w:rPr>
          <w:noProof/>
          <w:lang w:val="en-GB" w:eastAsia="en-GB"/>
        </w:rPr>
        <w:drawing>
          <wp:inline distT="0" distB="0" distL="0" distR="0" wp14:anchorId="0F2E3A78" wp14:editId="19D094CE">
            <wp:extent cx="5274310" cy="375764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3757647"/>
                    </a:xfrm>
                    <a:prstGeom prst="rect">
                      <a:avLst/>
                    </a:prstGeom>
                    <a:noFill/>
                    <a:ln>
                      <a:noFill/>
                    </a:ln>
                  </pic:spPr>
                </pic:pic>
              </a:graphicData>
            </a:graphic>
          </wp:inline>
        </w:drawing>
      </w:r>
    </w:p>
    <w:p w14:paraId="00AC1DC5" w14:textId="6B6771AB" w:rsidR="0045412B" w:rsidRPr="00F66DBD" w:rsidRDefault="0045412B" w:rsidP="0045412B">
      <w:pPr>
        <w:rPr>
          <w:i/>
          <w:sz w:val="20"/>
          <w:szCs w:val="20"/>
        </w:rPr>
      </w:pPr>
      <w:r w:rsidRPr="00F66DBD">
        <w:rPr>
          <w:sz w:val="20"/>
          <w:szCs w:val="20"/>
        </w:rPr>
        <w:t>ÍST EN 12620</w:t>
      </w:r>
      <w:r w:rsidRPr="00860139">
        <w:rPr>
          <w:sz w:val="20"/>
          <w:szCs w:val="20"/>
        </w:rPr>
        <w:t xml:space="preserve">: </w:t>
      </w:r>
      <w:r w:rsidR="001D1EC9" w:rsidRPr="00860139">
        <w:rPr>
          <w:sz w:val="20"/>
          <w:szCs w:val="20"/>
        </w:rPr>
        <w:t>Steinefni í steinsteypu</w:t>
      </w:r>
      <w:r w:rsidR="001D1EC9" w:rsidRPr="00F66DBD">
        <w:rPr>
          <w:sz w:val="20"/>
          <w:szCs w:val="20"/>
        </w:rPr>
        <w:t xml:space="preserve"> </w:t>
      </w:r>
      <w:r w:rsidRPr="00F66DBD">
        <w:rPr>
          <w:i/>
          <w:sz w:val="20"/>
          <w:szCs w:val="20"/>
        </w:rPr>
        <w:t>(</w:t>
      </w:r>
      <w:r w:rsidR="001D1EC9" w:rsidRPr="001D1EC9">
        <w:rPr>
          <w:sz w:val="20"/>
          <w:szCs w:val="20"/>
        </w:rPr>
        <w:t xml:space="preserve">e. </w:t>
      </w:r>
      <w:r w:rsidR="008854B5">
        <w:rPr>
          <w:sz w:val="20"/>
          <w:szCs w:val="20"/>
        </w:rPr>
        <w:t>Aggregates for concrete</w:t>
      </w:r>
      <w:r w:rsidRPr="00F66DBD">
        <w:rPr>
          <w:i/>
          <w:sz w:val="20"/>
          <w:szCs w:val="20"/>
        </w:rPr>
        <w:t>)</w:t>
      </w:r>
    </w:p>
    <w:p w14:paraId="49FF3DC5" w14:textId="4ECB64C6" w:rsidR="004D5085" w:rsidRPr="00F66DBD" w:rsidRDefault="004D5085" w:rsidP="004D5085">
      <w:pPr>
        <w:rPr>
          <w:sz w:val="20"/>
          <w:szCs w:val="20"/>
        </w:rPr>
      </w:pPr>
      <w:r w:rsidRPr="00F66DBD">
        <w:rPr>
          <w:sz w:val="20"/>
          <w:szCs w:val="20"/>
        </w:rPr>
        <w:t xml:space="preserve">ÍST EN 13043: </w:t>
      </w:r>
      <w:r w:rsidR="001D1EC9" w:rsidRPr="001D1EC9">
        <w:rPr>
          <w:sz w:val="20"/>
          <w:szCs w:val="20"/>
        </w:rPr>
        <w:t>Steinefni í malbik og klæðningar á vegi, flugvelli og önnur umferðarsvæð</w:t>
      </w:r>
      <w:r w:rsidR="001D1EC9">
        <w:rPr>
          <w:sz w:val="20"/>
          <w:szCs w:val="20"/>
        </w:rPr>
        <w:t xml:space="preserve"> </w:t>
      </w:r>
      <w:r w:rsidR="008854B5">
        <w:rPr>
          <w:sz w:val="20"/>
          <w:szCs w:val="20"/>
        </w:rPr>
        <w:br/>
      </w:r>
      <w:r w:rsidR="001D1EC9">
        <w:rPr>
          <w:sz w:val="20"/>
          <w:szCs w:val="20"/>
        </w:rPr>
        <w:t xml:space="preserve">(e. </w:t>
      </w:r>
      <w:r w:rsidRPr="00F66DBD">
        <w:rPr>
          <w:sz w:val="20"/>
          <w:szCs w:val="20"/>
        </w:rPr>
        <w:t>Aggregates for bituminous mixtures and surface treatments for roads, airfields and other trafficked areas</w:t>
      </w:r>
      <w:r w:rsidR="001D1EC9">
        <w:rPr>
          <w:sz w:val="20"/>
          <w:szCs w:val="20"/>
        </w:rPr>
        <w:t>)</w:t>
      </w:r>
      <w:r w:rsidRPr="00F66DBD">
        <w:rPr>
          <w:sz w:val="20"/>
          <w:szCs w:val="20"/>
        </w:rPr>
        <w:t xml:space="preserve"> </w:t>
      </w:r>
    </w:p>
    <w:p w14:paraId="508669E4" w14:textId="00E4F981" w:rsidR="004D5085" w:rsidRDefault="004D5085" w:rsidP="004D5085">
      <w:pPr>
        <w:rPr>
          <w:i/>
          <w:sz w:val="20"/>
          <w:szCs w:val="20"/>
        </w:rPr>
      </w:pPr>
      <w:r w:rsidRPr="00F66DBD">
        <w:rPr>
          <w:sz w:val="20"/>
          <w:szCs w:val="20"/>
        </w:rPr>
        <w:t xml:space="preserve">ÍST EN 13242: </w:t>
      </w:r>
      <w:r w:rsidR="001D1EC9" w:rsidRPr="001D1EC9">
        <w:rPr>
          <w:sz w:val="20"/>
          <w:szCs w:val="20"/>
        </w:rPr>
        <w:t>Steinefni í mannvirki og vegagerð, notuð óbundin eða bundin með vatnshverfum efnum</w:t>
      </w:r>
      <w:r w:rsidR="001D1EC9">
        <w:rPr>
          <w:sz w:val="20"/>
          <w:szCs w:val="20"/>
        </w:rPr>
        <w:t xml:space="preserve"> (e. </w:t>
      </w:r>
      <w:r w:rsidRPr="00F66DBD">
        <w:rPr>
          <w:sz w:val="20"/>
          <w:szCs w:val="20"/>
        </w:rPr>
        <w:t>Aggregates for unbound and hydraulically bound materials for use in civil engineering work and road construction</w:t>
      </w:r>
      <w:r w:rsidR="001D1EC9">
        <w:rPr>
          <w:sz w:val="20"/>
          <w:szCs w:val="20"/>
        </w:rPr>
        <w:t>)</w:t>
      </w:r>
      <w:r w:rsidRPr="00F66DBD">
        <w:rPr>
          <w:sz w:val="20"/>
          <w:szCs w:val="20"/>
        </w:rPr>
        <w:t xml:space="preserve"> </w:t>
      </w:r>
    </w:p>
    <w:p w14:paraId="4F9937D4" w14:textId="77777777" w:rsidR="00261FAA" w:rsidRDefault="00261FAA" w:rsidP="004D5085">
      <w:pPr>
        <w:rPr>
          <w:i/>
          <w:sz w:val="20"/>
          <w:szCs w:val="20"/>
        </w:rPr>
      </w:pPr>
    </w:p>
    <w:p w14:paraId="406AB079" w14:textId="33530FFA" w:rsidR="00A8210F" w:rsidRDefault="00A8210F" w:rsidP="008854B5">
      <w:pPr>
        <w:ind w:firstLine="284"/>
        <w:jc w:val="both"/>
        <w:rPr>
          <w:color w:val="222222"/>
        </w:rPr>
      </w:pPr>
      <w:r>
        <w:rPr>
          <w:rFonts w:cs="Helvetica-Bold"/>
          <w:bCs/>
        </w:rPr>
        <w:t xml:space="preserve">Bent skal á að kröfur Vegagerðarinnar um tíðni prófana á steinefnum til vegagerðar á framleiðslustigi </w:t>
      </w:r>
      <w:r w:rsidR="00AA0E1E">
        <w:rPr>
          <w:rFonts w:cs="Helvetica-Bold"/>
          <w:bCs/>
        </w:rPr>
        <w:t>getur verið</w:t>
      </w:r>
      <w:r>
        <w:rPr>
          <w:rFonts w:cs="Helvetica-Bold"/>
          <w:bCs/>
        </w:rPr>
        <w:t xml:space="preserve"> aukin miðað við töflu 2.2, enda miðar þessi tafla við lágmarkstíðni prófana.</w:t>
      </w:r>
      <w:r w:rsidR="00AA0E1E">
        <w:rPr>
          <w:rFonts w:cs="Helvetica-Bold"/>
          <w:bCs/>
        </w:rPr>
        <w:t xml:space="preserve"> </w:t>
      </w:r>
    </w:p>
    <w:p w14:paraId="33C2210B" w14:textId="363FDF42" w:rsidR="0087740E" w:rsidRDefault="00F915B2" w:rsidP="00206832">
      <w:pPr>
        <w:ind w:firstLine="284"/>
        <w:jc w:val="both"/>
        <w:rPr>
          <w:color w:val="222222"/>
        </w:rPr>
      </w:pPr>
      <w:r w:rsidRPr="00F915B2">
        <w:rPr>
          <w:color w:val="222222"/>
        </w:rPr>
        <w:t>Við gerðarprófanir skal nota þá prófunarstað</w:t>
      </w:r>
      <w:r w:rsidR="0064340E">
        <w:rPr>
          <w:color w:val="222222"/>
        </w:rPr>
        <w:t xml:space="preserve">la sem </w:t>
      </w:r>
      <w:r w:rsidR="00596D0D">
        <w:rPr>
          <w:color w:val="222222"/>
        </w:rPr>
        <w:t xml:space="preserve">valdir </w:t>
      </w:r>
      <w:r w:rsidR="0064340E">
        <w:rPr>
          <w:color w:val="222222"/>
        </w:rPr>
        <w:t xml:space="preserve">eru </w:t>
      </w:r>
      <w:r w:rsidR="00596D0D">
        <w:rPr>
          <w:color w:val="222222"/>
        </w:rPr>
        <w:t>úr</w:t>
      </w:r>
      <w:r w:rsidR="0064340E">
        <w:rPr>
          <w:color w:val="222222"/>
        </w:rPr>
        <w:t xml:space="preserve"> töflu 2.2</w:t>
      </w:r>
      <w:r w:rsidRPr="00F915B2">
        <w:rPr>
          <w:color w:val="222222"/>
        </w:rPr>
        <w:t>. Við prófanir vegna framleiðslueftirlits er hins vegar heimilt að prófa steinefni annað hvo</w:t>
      </w:r>
      <w:r w:rsidR="0064340E">
        <w:rPr>
          <w:color w:val="222222"/>
        </w:rPr>
        <w:t>rt með prófunarstöðlum í töflu 2.2</w:t>
      </w:r>
      <w:r w:rsidRPr="00F915B2">
        <w:rPr>
          <w:color w:val="222222"/>
        </w:rPr>
        <w:t xml:space="preserve"> eða með öðrum prófunaraðferðum sem sýnt hefur verið fram á að hafi fullnægjandi fylgni við stöðluðu prófunaraðferðirnar, sbr. ákvæði þar að lútandi í</w:t>
      </w:r>
      <w:r w:rsidR="00103145">
        <w:rPr>
          <w:color w:val="222222"/>
        </w:rPr>
        <w:t xml:space="preserve"> </w:t>
      </w:r>
      <w:r w:rsidR="001115F5">
        <w:rPr>
          <w:color w:val="222222"/>
        </w:rPr>
        <w:t>framleiðslustöðlunum</w:t>
      </w:r>
      <w:r w:rsidR="00516CB8">
        <w:rPr>
          <w:color w:val="222222"/>
        </w:rPr>
        <w:t xml:space="preserve">. </w:t>
      </w:r>
    </w:p>
    <w:p w14:paraId="2BCBE724" w14:textId="07861AA4" w:rsidR="00F915B2" w:rsidRPr="00F915B2" w:rsidRDefault="0087740E" w:rsidP="008854B5">
      <w:pPr>
        <w:ind w:firstLine="284"/>
        <w:jc w:val="both"/>
      </w:pPr>
      <w:r>
        <w:t>Prófunarniðurstöður sem eru grundvöllur yfirlýsingar</w:t>
      </w:r>
      <w:r w:rsidR="009A420D">
        <w:t xml:space="preserve"> um eiginleika (</w:t>
      </w:r>
      <w:r w:rsidR="00596D0D">
        <w:t xml:space="preserve">e. </w:t>
      </w:r>
      <w:r w:rsidR="009A420D">
        <w:t>DoP)</w:t>
      </w:r>
      <w:r>
        <w:t xml:space="preserve"> skulu settar fram í samræmi við viðkomandi framleiðslustaðal. Þegar valinn er kröfuflokkur skal það gert þannig að niðurstöður prófana verði innan marka. Berggreining skv. ÍST EN 932-3 skal fylgja yfirlýsingunni</w:t>
      </w:r>
      <w:r w:rsidR="00DC5D01">
        <w:t xml:space="preserve"> um eiginleika steinefna</w:t>
      </w:r>
      <w:r>
        <w:t>.</w:t>
      </w:r>
      <w:r w:rsidRPr="0087740E">
        <w:t xml:space="preserve"> </w:t>
      </w:r>
      <w:r>
        <w:t xml:space="preserve">Við framleiðslu steinefnis í steinsteypu og við framleiðslu bikbundins steinefnis skal styðjast við </w:t>
      </w:r>
      <w:r w:rsidR="00596D0D">
        <w:t>eftirlits</w:t>
      </w:r>
      <w:r>
        <w:t xml:space="preserve">kerfi 2+ og við framleiðslu á steinefni til óbundinna nota skal styðjast við </w:t>
      </w:r>
      <w:r w:rsidR="00596D0D">
        <w:t>eftirlits</w:t>
      </w:r>
      <w:r>
        <w:t>kerfi 4</w:t>
      </w:r>
      <w:r w:rsidR="002A0CFF">
        <w:t xml:space="preserve"> (</w:t>
      </w:r>
      <w:r w:rsidR="00103145">
        <w:t xml:space="preserve">e. </w:t>
      </w:r>
      <w:r w:rsidR="002A0CFF">
        <w:t>System of AVCP)</w:t>
      </w:r>
      <w:r w:rsidR="00103145">
        <w:t>, sbr. viðauka ZA í framleiðslustöðlunum</w:t>
      </w:r>
      <w:r>
        <w:t>.</w:t>
      </w:r>
    </w:p>
    <w:p w14:paraId="486F07E6" w14:textId="232F2079" w:rsidR="00261FAA" w:rsidRDefault="00261FAA" w:rsidP="008854B5">
      <w:pPr>
        <w:ind w:firstLine="284"/>
        <w:jc w:val="both"/>
      </w:pPr>
      <w:r w:rsidRPr="00261FAA">
        <w:t>Til</w:t>
      </w:r>
      <w:r>
        <w:t xml:space="preserve"> þess að það liggi skýrt fyrir hvaða prófunaraðferðir Vegagerðin hefur valið og hvaða aðferðir eru ekki valdar hefur tafla 2.3 verið sett saman með öllum prófunaraðferðunum</w:t>
      </w:r>
      <w:r w:rsidR="00206832">
        <w:t xml:space="preserve"> í staðlapakka CEN</w:t>
      </w:r>
      <w:r w:rsidR="00EE1F43">
        <w:t xml:space="preserve"> </w:t>
      </w:r>
      <w:r w:rsidR="00206832">
        <w:t>TC</w:t>
      </w:r>
      <w:r w:rsidR="00EE1F43">
        <w:t xml:space="preserve"> </w:t>
      </w:r>
      <w:r w:rsidR="00206832">
        <w:t xml:space="preserve">154 um steinefni (e. </w:t>
      </w:r>
      <w:r w:rsidR="00103145">
        <w:t>A</w:t>
      </w:r>
      <w:r w:rsidR="00206832">
        <w:t>ggregates)</w:t>
      </w:r>
      <w:r>
        <w:t>.</w:t>
      </w:r>
      <w:r w:rsidR="00CF166D">
        <w:t xml:space="preserve"> Í töflunni </w:t>
      </w:r>
      <w:r w:rsidR="00CF166D">
        <w:lastRenderedPageBreak/>
        <w:t>eru einungis tilgreindir prófunarstaðlar sem eru evrópskir CEN staðlar</w:t>
      </w:r>
      <w:r w:rsidR="00F82CDA">
        <w:t xml:space="preserve"> undir nefnd CEN/TC 154</w:t>
      </w:r>
      <w:r w:rsidR="00CF166D">
        <w:t>.</w:t>
      </w:r>
    </w:p>
    <w:p w14:paraId="668EE8C1" w14:textId="77777777" w:rsidR="00261FAA" w:rsidRDefault="00261FAA" w:rsidP="004D5085"/>
    <w:p w14:paraId="50736922" w14:textId="7CB7A516" w:rsidR="00F915B2" w:rsidRDefault="00261FAA" w:rsidP="00261FAA">
      <w:r w:rsidRPr="00261FAA">
        <w:rPr>
          <w:b/>
        </w:rPr>
        <w:t>Tafla 2.3</w:t>
      </w:r>
      <w:r w:rsidR="008854B5">
        <w:rPr>
          <w:b/>
        </w:rPr>
        <w:t>:</w:t>
      </w:r>
      <w:r w:rsidRPr="00261FAA">
        <w:t xml:space="preserve"> </w:t>
      </w:r>
      <w:r w:rsidR="001D1EC9">
        <w:t>Prófunars</w:t>
      </w:r>
      <w:r w:rsidRPr="00261FAA">
        <w:t xml:space="preserve">taðlar sem Vegagerðin fer fram á að notaðir verði við </w:t>
      </w:r>
      <w:r w:rsidR="00C05589">
        <w:t>gerðarprófanir og eftirlit með framleiðslu</w:t>
      </w:r>
      <w:r w:rsidRPr="00261FAA">
        <w:t xml:space="preserve"> steinefna</w:t>
      </w:r>
    </w:p>
    <w:p w14:paraId="0476FB7C" w14:textId="23CA6EA4" w:rsidR="007B05CD" w:rsidRDefault="007B05CD" w:rsidP="00261FAA">
      <w:r w:rsidRPr="00A17EFF">
        <w:rPr>
          <w:noProof/>
          <w:lang w:val="en-GB" w:eastAsia="en-GB"/>
        </w:rPr>
        <w:drawing>
          <wp:inline distT="0" distB="0" distL="0" distR="0" wp14:anchorId="28033FC1" wp14:editId="05172B9A">
            <wp:extent cx="5274310" cy="626249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6262490"/>
                    </a:xfrm>
                    <a:prstGeom prst="rect">
                      <a:avLst/>
                    </a:prstGeom>
                    <a:noFill/>
                    <a:ln>
                      <a:noFill/>
                    </a:ln>
                  </pic:spPr>
                </pic:pic>
              </a:graphicData>
            </a:graphic>
          </wp:inline>
        </w:drawing>
      </w:r>
    </w:p>
    <w:p w14:paraId="2187DA14" w14:textId="14E0FE1A" w:rsidR="00C05589" w:rsidRDefault="00C05589" w:rsidP="00261FAA">
      <w:pPr>
        <w:rPr>
          <w:sz w:val="20"/>
          <w:szCs w:val="20"/>
          <w:lang w:eastAsia="is-IS"/>
        </w:rPr>
      </w:pPr>
      <w:r>
        <w:rPr>
          <w:noProof/>
          <w:lang w:val="en-GB" w:eastAsia="en-GB"/>
        </w:rPr>
        <w:fldChar w:fldCharType="begin"/>
      </w:r>
      <w:r>
        <w:rPr>
          <w:noProof/>
          <w:lang w:val="en-GB" w:eastAsia="en-GB"/>
        </w:rPr>
        <w:instrText xml:space="preserve"> LINK </w:instrText>
      </w:r>
      <w:r w:rsidR="00C5509A">
        <w:rPr>
          <w:noProof/>
          <w:lang w:val="en-GB" w:eastAsia="en-GB"/>
        </w:rPr>
        <w:instrText xml:space="preserve">Excel.Sheet.12 "C:\\Users\\Pétur\\Documents\\Skjöl PP\\Skjöl PP\\Leiðbeiningabæklingur\\Documents\\Skjöl PP\\Skjöl PP\\Leiðbeiningabæklingur\\2018\\steinefnastaðlar-val-endurskoðun.xlsx" Sheet1!R1C1:R47C4 </w:instrText>
      </w:r>
      <w:r>
        <w:rPr>
          <w:noProof/>
          <w:lang w:val="en-GB" w:eastAsia="en-GB"/>
        </w:rPr>
        <w:instrText xml:space="preserve">\a \f 4 \h  \* MERGEFORMAT </w:instrText>
      </w:r>
      <w:r>
        <w:rPr>
          <w:noProof/>
          <w:lang w:val="en-GB" w:eastAsia="en-GB"/>
        </w:rPr>
        <w:fldChar w:fldCharType="separate"/>
      </w:r>
    </w:p>
    <w:p w14:paraId="76952307" w14:textId="2F29BB32" w:rsidR="00F915B2" w:rsidRPr="00261FAA" w:rsidRDefault="00C05589" w:rsidP="00261FAA">
      <w:r>
        <w:rPr>
          <w:noProof/>
          <w:lang w:val="en-GB" w:eastAsia="en-GB"/>
        </w:rPr>
        <w:fldChar w:fldCharType="end"/>
      </w:r>
    </w:p>
    <w:p w14:paraId="526DB00A" w14:textId="77777777" w:rsidR="00261FAA" w:rsidRPr="000179D9" w:rsidRDefault="00261FAA" w:rsidP="00261FAA">
      <w:pPr>
        <w:rPr>
          <w:sz w:val="22"/>
          <w:szCs w:val="22"/>
        </w:rPr>
      </w:pPr>
    </w:p>
    <w:p w14:paraId="55074A12" w14:textId="77777777" w:rsidR="00261FAA" w:rsidRDefault="00261FAA" w:rsidP="00261FAA"/>
    <w:p w14:paraId="1A45E101" w14:textId="77777777" w:rsidR="009C5758" w:rsidRDefault="00550912" w:rsidP="00EA023E">
      <w:pPr>
        <w:pStyle w:val="Heading1"/>
      </w:pPr>
      <w:r>
        <w:br w:type="page"/>
      </w:r>
      <w:bookmarkStart w:id="20" w:name="_Toc52971436"/>
      <w:r w:rsidR="009C5758" w:rsidRPr="00220C65">
        <w:lastRenderedPageBreak/>
        <w:t>Malbiksframleiðsla</w:t>
      </w:r>
      <w:bookmarkEnd w:id="20"/>
    </w:p>
    <w:p w14:paraId="05D5B497" w14:textId="77777777" w:rsidR="00CB4CD3" w:rsidRDefault="00CB4CD3" w:rsidP="00CB4CD3">
      <w:pPr>
        <w:pStyle w:val="Heading2"/>
      </w:pPr>
      <w:bookmarkStart w:id="21" w:name="_Toc52971437"/>
      <w:r>
        <w:t>Almennt</w:t>
      </w:r>
      <w:bookmarkEnd w:id="21"/>
    </w:p>
    <w:p w14:paraId="727DB46F" w14:textId="77777777" w:rsidR="00CB4CD3" w:rsidRPr="00CB4CD3" w:rsidRDefault="00CB4CD3" w:rsidP="00E56BA2"/>
    <w:p w14:paraId="5B7FED46" w14:textId="625828A1" w:rsidR="00957EE6" w:rsidRDefault="008C2796" w:rsidP="008854B5">
      <w:pPr>
        <w:ind w:firstLine="284"/>
        <w:jc w:val="both"/>
      </w:pPr>
      <w:r w:rsidRPr="008C2796">
        <w:t xml:space="preserve">Þessi </w:t>
      </w:r>
      <w:r w:rsidR="00AA0E1E">
        <w:t>viðauki</w:t>
      </w:r>
      <w:r w:rsidR="00AA0E1E" w:rsidRPr="008C2796">
        <w:t xml:space="preserve"> </w:t>
      </w:r>
      <w:r w:rsidRPr="008C2796">
        <w:t xml:space="preserve">er </w:t>
      </w:r>
      <w:r w:rsidR="002B66D1">
        <w:t>í samræmi við íslenskan fylgistaðal ÍST 75</w:t>
      </w:r>
      <w:r w:rsidRPr="008C2796">
        <w:t xml:space="preserve"> </w:t>
      </w:r>
      <w:r w:rsidR="00B5332B">
        <w:t>um</w:t>
      </w:r>
      <w:r w:rsidR="00561140">
        <w:t xml:space="preserve"> malbiksframleiðslu</w:t>
      </w:r>
      <w:r w:rsidR="00521717">
        <w:t xml:space="preserve"> sem kom fyrst út árið 2013 og </w:t>
      </w:r>
      <w:r w:rsidR="00E5515E">
        <w:t>verður</w:t>
      </w:r>
      <w:r w:rsidR="00521717">
        <w:t xml:space="preserve"> endurskoðaður </w:t>
      </w:r>
      <w:r w:rsidR="00BC686D">
        <w:t>þegar</w:t>
      </w:r>
      <w:r w:rsidR="00042342">
        <w:t xml:space="preserve"> endurskoðaðir </w:t>
      </w:r>
      <w:r w:rsidR="00521717">
        <w:t>framleiðslust</w:t>
      </w:r>
      <w:r w:rsidR="003D2EE1">
        <w:t>aðlar</w:t>
      </w:r>
      <w:r w:rsidR="00521717">
        <w:t xml:space="preserve"> og eftirlitsst</w:t>
      </w:r>
      <w:r w:rsidR="00042342">
        <w:t>aðlar</w:t>
      </w:r>
      <w:r w:rsidR="00521717">
        <w:t xml:space="preserve"> frá</w:t>
      </w:r>
      <w:r w:rsidR="00EE1F43">
        <w:t xml:space="preserve"> CEN</w:t>
      </w:r>
      <w:r w:rsidR="00521717">
        <w:t xml:space="preserve"> TC 227 (e. Road materials)</w:t>
      </w:r>
      <w:r w:rsidR="00C51FA2">
        <w:t xml:space="preserve"> hafa verið </w:t>
      </w:r>
      <w:r w:rsidR="006C57B6">
        <w:t>gefnir út</w:t>
      </w:r>
      <w:r w:rsidR="00521717">
        <w:t>.</w:t>
      </w:r>
      <w:r w:rsidRPr="008C2796">
        <w:t xml:space="preserve"> </w:t>
      </w:r>
      <w:r w:rsidR="00521717">
        <w:t>Í fylgistaðlinum eru</w:t>
      </w:r>
      <w:r w:rsidR="00561140">
        <w:t xml:space="preserve"> sett</w:t>
      </w:r>
      <w:r w:rsidRPr="008C2796">
        <w:t xml:space="preserve"> fram</w:t>
      </w:r>
      <w:r w:rsidR="00561140">
        <w:t xml:space="preserve"> ákvæði um</w:t>
      </w:r>
      <w:r w:rsidRPr="008C2796">
        <w:t xml:space="preserve"> </w:t>
      </w:r>
      <w:r w:rsidR="00561140">
        <w:t>prófunaraðferðir</w:t>
      </w:r>
      <w:r w:rsidRPr="008C2796">
        <w:t xml:space="preserve">, annars vegar við </w:t>
      </w:r>
      <w:r w:rsidR="00221BB1">
        <w:t>gerðar</w:t>
      </w:r>
      <w:r w:rsidRPr="008C2796">
        <w:t>prófanir</w:t>
      </w:r>
      <w:r w:rsidR="00521717">
        <w:t xml:space="preserve"> </w:t>
      </w:r>
      <w:r w:rsidR="00AA6434">
        <w:t>(</w:t>
      </w:r>
      <w:r w:rsidR="002A0CFF">
        <w:t xml:space="preserve">e. Type Testing, </w:t>
      </w:r>
      <w:r w:rsidR="00AA6434">
        <w:t>TT)</w:t>
      </w:r>
      <w:r w:rsidRPr="008C2796">
        <w:t xml:space="preserve"> og hins vegar vegna framleiðslueftirlits</w:t>
      </w:r>
      <w:r w:rsidR="00AA6434">
        <w:t xml:space="preserve"> (</w:t>
      </w:r>
      <w:r w:rsidR="002A0CFF">
        <w:t>e</w:t>
      </w:r>
      <w:r w:rsidR="00161887">
        <w:t>.</w:t>
      </w:r>
      <w:r w:rsidR="002A0CFF">
        <w:t xml:space="preserve"> Factory Production Control, </w:t>
      </w:r>
      <w:r w:rsidR="00AA6434">
        <w:t>FPC)</w:t>
      </w:r>
      <w:r w:rsidRPr="008C2796">
        <w:t xml:space="preserve">. </w:t>
      </w:r>
      <w:r w:rsidR="00561140">
        <w:t xml:space="preserve">Með </w:t>
      </w:r>
      <w:r w:rsidR="00B5332B">
        <w:t>tilkomu fylgistaðalsins gerir</w:t>
      </w:r>
      <w:r w:rsidR="00561140">
        <w:t xml:space="preserve"> Vegagerðin </w:t>
      </w:r>
      <w:r w:rsidR="00AA6434">
        <w:t xml:space="preserve">þá kröfu að </w:t>
      </w:r>
      <w:r w:rsidR="00561140">
        <w:t>gerðar</w:t>
      </w:r>
      <w:r w:rsidR="00AA6434">
        <w:t xml:space="preserve">prófanir og framleiðslueftirlit malbiks sem Vegagerðin kaupir á markaði verði í samræmi við </w:t>
      </w:r>
      <w:r w:rsidR="00B5332B">
        <w:t>hann</w:t>
      </w:r>
      <w:r w:rsidR="00AA6434">
        <w:t xml:space="preserve">. </w:t>
      </w:r>
      <w:r w:rsidR="00B5332B">
        <w:t>Þ</w:t>
      </w:r>
      <w:r w:rsidR="00AA6434">
        <w:t>ess</w:t>
      </w:r>
      <w:r w:rsidR="00B5332B">
        <w:t xml:space="preserve"> er</w:t>
      </w:r>
      <w:r w:rsidR="00AA6434">
        <w:t xml:space="preserve"> gætt að </w:t>
      </w:r>
      <w:r w:rsidR="00AA0E1E">
        <w:t xml:space="preserve">kafli </w:t>
      </w:r>
      <w:r w:rsidR="00E54204">
        <w:t>64 í</w:t>
      </w:r>
      <w:r w:rsidR="00AA0E1E">
        <w:t xml:space="preserve"> </w:t>
      </w:r>
      <w:r w:rsidR="002A0CFF">
        <w:t>Efnisgæðaritinu</w:t>
      </w:r>
      <w:r w:rsidR="00E54204">
        <w:t xml:space="preserve"> og þessi viðauki</w:t>
      </w:r>
      <w:r w:rsidR="00AA6434">
        <w:t xml:space="preserve"> </w:t>
      </w:r>
      <w:r w:rsidR="00B5332B">
        <w:t xml:space="preserve">séu </w:t>
      </w:r>
      <w:r w:rsidR="00AA6434">
        <w:t xml:space="preserve">í samræmi við </w:t>
      </w:r>
      <w:r w:rsidR="00B5332B">
        <w:t>fylgistaðalinn</w:t>
      </w:r>
      <w:r w:rsidR="00AA6434">
        <w:t>.</w:t>
      </w:r>
    </w:p>
    <w:p w14:paraId="55BE8672" w14:textId="38DA0B8B" w:rsidR="00226998" w:rsidRPr="00226998" w:rsidRDefault="00561140" w:rsidP="008854B5">
      <w:pPr>
        <w:ind w:firstLine="284"/>
        <w:jc w:val="both"/>
      </w:pPr>
      <w:r>
        <w:t xml:space="preserve">Í þessum </w:t>
      </w:r>
      <w:r w:rsidR="00E54204">
        <w:t xml:space="preserve">viðauka </w:t>
      </w:r>
      <w:r>
        <w:t>eru sett fram ákvæði varðandi eftirfarandi malbiksgerðir</w:t>
      </w:r>
      <w:r w:rsidR="001A2CE3">
        <w:t>:</w:t>
      </w:r>
      <w:r>
        <w:t xml:space="preserve"> </w:t>
      </w:r>
      <w:r w:rsidR="00226998" w:rsidRPr="00226998">
        <w:t>ÍST EN 13108-1</w:t>
      </w:r>
      <w:r w:rsidR="003D63C1">
        <w:t>,</w:t>
      </w:r>
      <w:r w:rsidR="00226998" w:rsidRPr="00226998">
        <w:t xml:space="preserve"> </w:t>
      </w:r>
      <w:r w:rsidR="00521717">
        <w:t>S</w:t>
      </w:r>
      <w:r w:rsidR="002A0CFF">
        <w:t>tíf</w:t>
      </w:r>
      <w:r w:rsidR="003D63C1">
        <w:t>malbik</w:t>
      </w:r>
      <w:r w:rsidR="00226998" w:rsidRPr="00226998">
        <w:t xml:space="preserve"> (</w:t>
      </w:r>
      <w:r w:rsidR="002A0CFF">
        <w:t xml:space="preserve">e. </w:t>
      </w:r>
      <w:r>
        <w:t>Asphalt C</w:t>
      </w:r>
      <w:r w:rsidR="00771AB6">
        <w:t>oncrete</w:t>
      </w:r>
      <w:r w:rsidR="002A0CFF">
        <w:t>, AC</w:t>
      </w:r>
      <w:r w:rsidR="003D63C1">
        <w:t>) og</w:t>
      </w:r>
      <w:r w:rsidR="00226998" w:rsidRPr="00226998">
        <w:t xml:space="preserve"> ÍST EN 13108-5</w:t>
      </w:r>
      <w:r w:rsidR="003D63C1">
        <w:t>,</w:t>
      </w:r>
      <w:r w:rsidR="00226998" w:rsidRPr="00226998">
        <w:t xml:space="preserve"> </w:t>
      </w:r>
      <w:r w:rsidR="00521717">
        <w:t>S</w:t>
      </w:r>
      <w:r w:rsidR="003D63C1">
        <w:t>teinríkt malbik</w:t>
      </w:r>
      <w:r w:rsidR="00226998" w:rsidRPr="00226998">
        <w:t xml:space="preserve"> </w:t>
      </w:r>
      <w:r w:rsidR="003D63C1">
        <w:br/>
      </w:r>
      <w:r w:rsidR="00226998" w:rsidRPr="00226998">
        <w:t>(</w:t>
      </w:r>
      <w:r w:rsidR="002A0CFF">
        <w:t>e.</w:t>
      </w:r>
      <w:r>
        <w:t xml:space="preserve"> Stone Mastic A</w:t>
      </w:r>
      <w:r w:rsidR="00771AB6">
        <w:t>sphalt</w:t>
      </w:r>
      <w:r w:rsidR="002A0CFF">
        <w:t>, SMA</w:t>
      </w:r>
      <w:r w:rsidR="00226998" w:rsidRPr="00226998">
        <w:t>).</w:t>
      </w:r>
    </w:p>
    <w:p w14:paraId="0938B276" w14:textId="77777777" w:rsidR="00566F6E" w:rsidRDefault="00B5332B" w:rsidP="00566F6E">
      <w:pPr>
        <w:pStyle w:val="Heading2"/>
      </w:pPr>
      <w:bookmarkStart w:id="22" w:name="_Toc52971438"/>
      <w:r>
        <w:t>G</w:t>
      </w:r>
      <w:r w:rsidR="001A2CE3">
        <w:t>erðar</w:t>
      </w:r>
      <w:r w:rsidR="00566F6E" w:rsidRPr="00220C65">
        <w:t>prófanir</w:t>
      </w:r>
      <w:bookmarkEnd w:id="22"/>
    </w:p>
    <w:p w14:paraId="5F2313AF" w14:textId="77777777" w:rsidR="00C63291" w:rsidRPr="00B94BA5" w:rsidRDefault="0057755A" w:rsidP="00561140">
      <w:pPr>
        <w:ind w:firstLine="426"/>
        <w:jc w:val="both"/>
      </w:pPr>
      <w:r>
        <w:t xml:space="preserve">Allt </w:t>
      </w:r>
      <w:r w:rsidR="00771AB6">
        <w:t xml:space="preserve">AC og SMA </w:t>
      </w:r>
      <w:r>
        <w:t>malbik</w:t>
      </w:r>
      <w:r w:rsidR="008C2796">
        <w:t xml:space="preserve"> sem framleitt er á íslenskan markað skal gerðarprófað</w:t>
      </w:r>
      <w:r w:rsidR="00101B2F">
        <w:t xml:space="preserve"> (TT</w:t>
      </w:r>
      <w:r w:rsidR="000B1996">
        <w:t>, sbr. ÍST EN 13108-20</w:t>
      </w:r>
      <w:r w:rsidR="00101B2F">
        <w:t>)</w:t>
      </w:r>
      <w:r w:rsidR="008C2796">
        <w:t xml:space="preserve"> og </w:t>
      </w:r>
      <w:r w:rsidR="00101B2F">
        <w:t>skulu</w:t>
      </w:r>
      <w:r w:rsidR="008C2796">
        <w:t xml:space="preserve"> </w:t>
      </w:r>
      <w:r w:rsidR="008C2796" w:rsidRPr="00B94BA5">
        <w:t>lágmarksupplýsingar sem settar eru fram vera samkvæmt töflu 3.1</w:t>
      </w:r>
      <w:r w:rsidR="007F4BAC">
        <w:t>.</w:t>
      </w:r>
      <w:r w:rsidR="008C2796" w:rsidRPr="00B94BA5">
        <w:t xml:space="preserve"> </w:t>
      </w:r>
    </w:p>
    <w:p w14:paraId="5FB710F7" w14:textId="77777777" w:rsidR="0057755A" w:rsidRPr="00B94BA5" w:rsidRDefault="0057755A" w:rsidP="00C63291"/>
    <w:p w14:paraId="0D12BF42" w14:textId="0D26B83E" w:rsidR="00C63291" w:rsidRPr="00B94BA5" w:rsidRDefault="00C63291" w:rsidP="00C63291">
      <w:pPr>
        <w:pStyle w:val="Title"/>
        <w:rPr>
          <w:b w:val="0"/>
        </w:rPr>
      </w:pPr>
      <w:r w:rsidRPr="00B94BA5">
        <w:t xml:space="preserve">Tafla </w:t>
      </w:r>
      <w:r w:rsidR="008C2796" w:rsidRPr="00B94BA5">
        <w:t>3.</w:t>
      </w:r>
      <w:r w:rsidR="0012777F">
        <w:t>1</w:t>
      </w:r>
      <w:r w:rsidR="008854B5">
        <w:t>:</w:t>
      </w:r>
      <w:r w:rsidR="0012777F">
        <w:t xml:space="preserve"> </w:t>
      </w:r>
      <w:r w:rsidRPr="00B94BA5">
        <w:rPr>
          <w:b w:val="0"/>
        </w:rPr>
        <w:t xml:space="preserve">Eiginleikar malbiks sem skylt er að staðfesta hérlendis við gerðarprófun </w:t>
      </w:r>
    </w:p>
    <w:p w14:paraId="233FED31" w14:textId="77777777" w:rsidR="00C63291" w:rsidRPr="00B94BA5" w:rsidRDefault="00C63291" w:rsidP="00C63291">
      <w:pPr>
        <w:jc w:val="center"/>
        <w:rPr>
          <w:b/>
          <w:bCs/>
          <w:sz w:val="20"/>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2191"/>
        <w:gridCol w:w="3534"/>
      </w:tblGrid>
      <w:tr w:rsidR="00AD369C" w:rsidRPr="00B94BA5" w14:paraId="0D7BE250" w14:textId="77777777" w:rsidTr="00D9073D">
        <w:trPr>
          <w:trHeight w:val="562"/>
          <w:jc w:val="center"/>
        </w:trPr>
        <w:tc>
          <w:tcPr>
            <w:tcW w:w="2093" w:type="dxa"/>
            <w:shd w:val="clear" w:color="auto" w:fill="DAEEF3" w:themeFill="accent5" w:themeFillTint="33"/>
          </w:tcPr>
          <w:p w14:paraId="667B3CB3" w14:textId="77777777" w:rsidR="00E56BA2" w:rsidRDefault="00AD369C" w:rsidP="00E56BA2">
            <w:pPr>
              <w:jc w:val="center"/>
              <w:rPr>
                <w:b/>
                <w:bCs/>
              </w:rPr>
            </w:pPr>
            <w:r w:rsidRPr="00B94BA5">
              <w:rPr>
                <w:b/>
                <w:bCs/>
              </w:rPr>
              <w:t>Kafli í</w:t>
            </w:r>
          </w:p>
          <w:p w14:paraId="20D49F4F" w14:textId="77777777" w:rsidR="00AD369C" w:rsidRPr="00B94BA5" w:rsidRDefault="00AD369C" w:rsidP="00E56BA2">
            <w:pPr>
              <w:jc w:val="center"/>
              <w:rPr>
                <w:b/>
                <w:bCs/>
              </w:rPr>
            </w:pPr>
            <w:r w:rsidRPr="00B94BA5">
              <w:rPr>
                <w:b/>
                <w:bCs/>
              </w:rPr>
              <w:t>ÍST EN 13108-1</w:t>
            </w:r>
          </w:p>
        </w:tc>
        <w:tc>
          <w:tcPr>
            <w:tcW w:w="2191" w:type="dxa"/>
            <w:shd w:val="clear" w:color="auto" w:fill="DAEEF3" w:themeFill="accent5" w:themeFillTint="33"/>
          </w:tcPr>
          <w:p w14:paraId="17F04BFB" w14:textId="77777777" w:rsidR="00E56BA2" w:rsidRDefault="00AD369C" w:rsidP="00E56BA2">
            <w:pPr>
              <w:jc w:val="center"/>
              <w:rPr>
                <w:b/>
                <w:bCs/>
              </w:rPr>
            </w:pPr>
            <w:r>
              <w:rPr>
                <w:b/>
                <w:bCs/>
              </w:rPr>
              <w:t>Kafli í</w:t>
            </w:r>
          </w:p>
          <w:p w14:paraId="789F8B16" w14:textId="77777777" w:rsidR="00AD369C" w:rsidRPr="00B94BA5" w:rsidRDefault="00AD369C">
            <w:pPr>
              <w:jc w:val="center"/>
              <w:rPr>
                <w:b/>
                <w:bCs/>
              </w:rPr>
            </w:pPr>
            <w:r>
              <w:rPr>
                <w:b/>
                <w:bCs/>
              </w:rPr>
              <w:t>ÍST EN 13108-5</w:t>
            </w:r>
          </w:p>
        </w:tc>
        <w:tc>
          <w:tcPr>
            <w:tcW w:w="3534" w:type="dxa"/>
            <w:shd w:val="clear" w:color="auto" w:fill="DAEEF3" w:themeFill="accent5" w:themeFillTint="33"/>
          </w:tcPr>
          <w:p w14:paraId="1BA7BFF5" w14:textId="77777777" w:rsidR="00AD369C" w:rsidRPr="00B94BA5" w:rsidRDefault="00AD369C" w:rsidP="0074266C">
            <w:pPr>
              <w:jc w:val="center"/>
              <w:rPr>
                <w:b/>
                <w:bCs/>
              </w:rPr>
            </w:pPr>
            <w:r w:rsidRPr="00B94BA5">
              <w:rPr>
                <w:b/>
                <w:bCs/>
              </w:rPr>
              <w:t>Eiginleiki</w:t>
            </w:r>
          </w:p>
        </w:tc>
      </w:tr>
      <w:tr w:rsidR="00187B1E" w:rsidRPr="00B94BA5" w14:paraId="199D6DB3" w14:textId="77777777" w:rsidTr="00F52AF8">
        <w:trPr>
          <w:jc w:val="center"/>
        </w:trPr>
        <w:tc>
          <w:tcPr>
            <w:tcW w:w="2093" w:type="dxa"/>
            <w:shd w:val="clear" w:color="auto" w:fill="FDE9D9" w:themeFill="accent6" w:themeFillTint="33"/>
          </w:tcPr>
          <w:p w14:paraId="64A5D567" w14:textId="1FF9A864" w:rsidR="00187B1E" w:rsidRPr="00B94BA5" w:rsidRDefault="00187B1E" w:rsidP="00187B1E">
            <w:pPr>
              <w:jc w:val="center"/>
            </w:pPr>
            <w:r w:rsidRPr="00B94BA5">
              <w:t>5.2.2</w:t>
            </w:r>
          </w:p>
        </w:tc>
        <w:tc>
          <w:tcPr>
            <w:tcW w:w="2191" w:type="dxa"/>
            <w:shd w:val="clear" w:color="auto" w:fill="FDE9D9" w:themeFill="accent6" w:themeFillTint="33"/>
          </w:tcPr>
          <w:p w14:paraId="48F8AF0D" w14:textId="47BDD673" w:rsidR="00187B1E" w:rsidRPr="00B94BA5" w:rsidRDefault="00187B1E" w:rsidP="00187B1E">
            <w:pPr>
              <w:jc w:val="center"/>
            </w:pPr>
            <w:r>
              <w:t>5.2.2</w:t>
            </w:r>
          </w:p>
        </w:tc>
        <w:tc>
          <w:tcPr>
            <w:tcW w:w="3534" w:type="dxa"/>
            <w:shd w:val="clear" w:color="auto" w:fill="FDE9D9" w:themeFill="accent6" w:themeFillTint="33"/>
          </w:tcPr>
          <w:p w14:paraId="07606F60" w14:textId="77777777" w:rsidR="00187B1E" w:rsidRPr="00B94BA5" w:rsidRDefault="00187B1E" w:rsidP="00187B1E">
            <w:r>
              <w:t>Kornadreifing</w:t>
            </w:r>
          </w:p>
        </w:tc>
      </w:tr>
      <w:tr w:rsidR="00187B1E" w:rsidRPr="00B94BA5" w14:paraId="27EB5294" w14:textId="77777777" w:rsidTr="00F52AF8">
        <w:trPr>
          <w:jc w:val="center"/>
        </w:trPr>
        <w:tc>
          <w:tcPr>
            <w:tcW w:w="2093" w:type="dxa"/>
            <w:shd w:val="clear" w:color="auto" w:fill="FDE9D9" w:themeFill="accent6" w:themeFillTint="33"/>
          </w:tcPr>
          <w:p w14:paraId="47862BDE" w14:textId="5A577ED2" w:rsidR="00187B1E" w:rsidRPr="00B94BA5" w:rsidRDefault="00187B1E" w:rsidP="00187B1E">
            <w:pPr>
              <w:jc w:val="center"/>
              <w:rPr>
                <w:b/>
                <w:bCs/>
              </w:rPr>
            </w:pPr>
            <w:r w:rsidRPr="00B94BA5">
              <w:t>5.</w:t>
            </w:r>
            <w:r>
              <w:t>3</w:t>
            </w:r>
            <w:r w:rsidRPr="00B94BA5">
              <w:t>.2</w:t>
            </w:r>
          </w:p>
        </w:tc>
        <w:tc>
          <w:tcPr>
            <w:tcW w:w="2191" w:type="dxa"/>
            <w:shd w:val="clear" w:color="auto" w:fill="FDE9D9" w:themeFill="accent6" w:themeFillTint="33"/>
          </w:tcPr>
          <w:p w14:paraId="014DB433" w14:textId="1790D5D8" w:rsidR="00187B1E" w:rsidRPr="00B94BA5" w:rsidRDefault="00187B1E" w:rsidP="00187B1E">
            <w:pPr>
              <w:jc w:val="center"/>
            </w:pPr>
            <w:r>
              <w:t>5.3.2</w:t>
            </w:r>
          </w:p>
        </w:tc>
        <w:tc>
          <w:tcPr>
            <w:tcW w:w="3534" w:type="dxa"/>
            <w:shd w:val="clear" w:color="auto" w:fill="FDE9D9" w:themeFill="accent6" w:themeFillTint="33"/>
          </w:tcPr>
          <w:p w14:paraId="1D06C61F" w14:textId="7F4CA0B7" w:rsidR="00187B1E" w:rsidRPr="00B94BA5" w:rsidRDefault="00C05589" w:rsidP="00187B1E">
            <w:pPr>
              <w:rPr>
                <w:b/>
                <w:bCs/>
              </w:rPr>
            </w:pPr>
            <w:r>
              <w:t>Holrýmd</w:t>
            </w:r>
            <w:r w:rsidR="00187B1E" w:rsidRPr="00B94BA5">
              <w:rPr>
                <w:vertAlign w:val="superscript"/>
              </w:rPr>
              <w:t>1)</w:t>
            </w:r>
          </w:p>
        </w:tc>
      </w:tr>
      <w:tr w:rsidR="00187B1E" w:rsidRPr="00B94BA5" w14:paraId="20861D64" w14:textId="77777777" w:rsidTr="00F52AF8">
        <w:trPr>
          <w:jc w:val="center"/>
        </w:trPr>
        <w:tc>
          <w:tcPr>
            <w:tcW w:w="2093" w:type="dxa"/>
            <w:shd w:val="clear" w:color="auto" w:fill="FDE9D9" w:themeFill="accent6" w:themeFillTint="33"/>
          </w:tcPr>
          <w:p w14:paraId="09CBC967" w14:textId="1ABBAB2B" w:rsidR="00187B1E" w:rsidRPr="00B94BA5" w:rsidRDefault="00187B1E" w:rsidP="00187B1E">
            <w:pPr>
              <w:jc w:val="center"/>
            </w:pPr>
            <w:r w:rsidRPr="00B94BA5">
              <w:t>5.</w:t>
            </w:r>
            <w:r>
              <w:t>2.3</w:t>
            </w:r>
          </w:p>
        </w:tc>
        <w:tc>
          <w:tcPr>
            <w:tcW w:w="2191" w:type="dxa"/>
            <w:shd w:val="clear" w:color="auto" w:fill="FDE9D9" w:themeFill="accent6" w:themeFillTint="33"/>
          </w:tcPr>
          <w:p w14:paraId="69FA3724" w14:textId="58D8D69D" w:rsidR="00187B1E" w:rsidRPr="00B94BA5" w:rsidRDefault="00187B1E" w:rsidP="00187B1E">
            <w:pPr>
              <w:jc w:val="center"/>
            </w:pPr>
            <w:r>
              <w:t>5.</w:t>
            </w:r>
            <w:r w:rsidR="00C9480A">
              <w:t>2.</w:t>
            </w:r>
            <w:r>
              <w:t>3</w:t>
            </w:r>
          </w:p>
        </w:tc>
        <w:tc>
          <w:tcPr>
            <w:tcW w:w="3534" w:type="dxa"/>
            <w:shd w:val="clear" w:color="auto" w:fill="FDE9D9" w:themeFill="accent6" w:themeFillTint="33"/>
          </w:tcPr>
          <w:p w14:paraId="3F22438C" w14:textId="77777777" w:rsidR="00187B1E" w:rsidRPr="00B94BA5" w:rsidRDefault="00187B1E" w:rsidP="00187B1E">
            <w:r w:rsidRPr="00B94BA5">
              <w:t>Bindiefnisinnihald</w:t>
            </w:r>
          </w:p>
        </w:tc>
      </w:tr>
      <w:tr w:rsidR="00187B1E" w:rsidRPr="00B94BA5" w14:paraId="4F52515B" w14:textId="77777777" w:rsidTr="00F52AF8">
        <w:trPr>
          <w:jc w:val="center"/>
        </w:trPr>
        <w:tc>
          <w:tcPr>
            <w:tcW w:w="2093" w:type="dxa"/>
            <w:shd w:val="clear" w:color="auto" w:fill="FDE9D9" w:themeFill="accent6" w:themeFillTint="33"/>
          </w:tcPr>
          <w:p w14:paraId="54223C66" w14:textId="11AE20E7" w:rsidR="00187B1E" w:rsidRPr="00B94BA5" w:rsidRDefault="00187B1E" w:rsidP="00187B1E">
            <w:pPr>
              <w:jc w:val="center"/>
            </w:pPr>
            <w:r w:rsidRPr="00B94BA5">
              <w:t>5.3.</w:t>
            </w:r>
            <w:r>
              <w:t>2</w:t>
            </w:r>
          </w:p>
        </w:tc>
        <w:tc>
          <w:tcPr>
            <w:tcW w:w="2191" w:type="dxa"/>
            <w:shd w:val="clear" w:color="auto" w:fill="FDE9D9" w:themeFill="accent6" w:themeFillTint="33"/>
          </w:tcPr>
          <w:p w14:paraId="4074024D" w14:textId="6030E58E" w:rsidR="00187B1E" w:rsidRPr="00B94BA5" w:rsidRDefault="00187B1E" w:rsidP="00187B1E">
            <w:pPr>
              <w:jc w:val="center"/>
            </w:pPr>
            <w:r>
              <w:t>5.3.2</w:t>
            </w:r>
          </w:p>
        </w:tc>
        <w:tc>
          <w:tcPr>
            <w:tcW w:w="3534" w:type="dxa"/>
            <w:shd w:val="clear" w:color="auto" w:fill="FDE9D9" w:themeFill="accent6" w:themeFillTint="33"/>
          </w:tcPr>
          <w:p w14:paraId="3D89175E" w14:textId="77777777" w:rsidR="00187B1E" w:rsidRPr="00B94BA5" w:rsidRDefault="00187B1E" w:rsidP="00187B1E">
            <w:r w:rsidRPr="00B94BA5">
              <w:t>Bikfyllt holrýmd</w:t>
            </w:r>
            <w:r w:rsidRPr="00B94BA5">
              <w:rPr>
                <w:vertAlign w:val="superscript"/>
              </w:rPr>
              <w:t>1)</w:t>
            </w:r>
          </w:p>
        </w:tc>
      </w:tr>
      <w:tr w:rsidR="00187B1E" w:rsidRPr="00B94BA5" w14:paraId="4836D49D" w14:textId="77777777" w:rsidTr="00F52AF8">
        <w:trPr>
          <w:jc w:val="center"/>
        </w:trPr>
        <w:tc>
          <w:tcPr>
            <w:tcW w:w="2093" w:type="dxa"/>
            <w:shd w:val="clear" w:color="auto" w:fill="FDE9D9" w:themeFill="accent6" w:themeFillTint="33"/>
          </w:tcPr>
          <w:p w14:paraId="2407F297" w14:textId="6897395C" w:rsidR="00187B1E" w:rsidRPr="00B94BA5" w:rsidRDefault="00187B1E" w:rsidP="00187B1E">
            <w:pPr>
              <w:jc w:val="center"/>
            </w:pPr>
            <w:r w:rsidRPr="00B94BA5">
              <w:t>5.3.</w:t>
            </w:r>
            <w:r>
              <w:t>14</w:t>
            </w:r>
          </w:p>
        </w:tc>
        <w:tc>
          <w:tcPr>
            <w:tcW w:w="2191" w:type="dxa"/>
            <w:shd w:val="clear" w:color="auto" w:fill="FDE9D9" w:themeFill="accent6" w:themeFillTint="33"/>
          </w:tcPr>
          <w:p w14:paraId="5FF25F39" w14:textId="36EDB787" w:rsidR="00187B1E" w:rsidRPr="00B94BA5" w:rsidRDefault="00187B1E" w:rsidP="00187B1E">
            <w:pPr>
              <w:jc w:val="center"/>
            </w:pPr>
            <w:r>
              <w:t>-</w:t>
            </w:r>
          </w:p>
        </w:tc>
        <w:tc>
          <w:tcPr>
            <w:tcW w:w="3534" w:type="dxa"/>
            <w:shd w:val="clear" w:color="auto" w:fill="FDE9D9" w:themeFill="accent6" w:themeFillTint="33"/>
          </w:tcPr>
          <w:p w14:paraId="703BFBC6" w14:textId="77777777" w:rsidR="00187B1E" w:rsidRPr="00B94BA5" w:rsidRDefault="00187B1E" w:rsidP="00187B1E">
            <w:r>
              <w:t>Festa og sig fyrir flugvalla</w:t>
            </w:r>
            <w:r w:rsidRPr="00B94BA5">
              <w:t>malbik</w:t>
            </w:r>
            <w:r w:rsidRPr="00B94BA5">
              <w:rPr>
                <w:vertAlign w:val="superscript"/>
              </w:rPr>
              <w:t>1)</w:t>
            </w:r>
          </w:p>
        </w:tc>
      </w:tr>
    </w:tbl>
    <w:p w14:paraId="7A876446" w14:textId="77777777" w:rsidR="008C2796" w:rsidRPr="00B94BA5" w:rsidRDefault="008C2796" w:rsidP="00C63291">
      <w:pPr>
        <w:rPr>
          <w:sz w:val="16"/>
          <w:szCs w:val="16"/>
          <w:vertAlign w:val="superscript"/>
        </w:rPr>
      </w:pPr>
    </w:p>
    <w:p w14:paraId="371EB815" w14:textId="77777777" w:rsidR="008C2796" w:rsidRPr="004B3638" w:rsidRDefault="008C2796" w:rsidP="008C2796">
      <w:pPr>
        <w:numPr>
          <w:ilvl w:val="0"/>
          <w:numId w:val="29"/>
        </w:numPr>
        <w:rPr>
          <w:i/>
          <w:sz w:val="20"/>
          <w:szCs w:val="20"/>
        </w:rPr>
      </w:pPr>
      <w:r w:rsidRPr="004B3638">
        <w:rPr>
          <w:i/>
          <w:sz w:val="20"/>
          <w:szCs w:val="20"/>
        </w:rPr>
        <w:t>Við sýnagerð er farið eftir staðli ÍST EN 12697-30. Malbik í vegagerð er þjappað með 2x50 höggum og fyrir flugvelli 2x75 höggum.</w:t>
      </w:r>
      <w:r w:rsidR="0060393F" w:rsidRPr="004B3638">
        <w:rPr>
          <w:i/>
          <w:sz w:val="20"/>
          <w:szCs w:val="20"/>
        </w:rPr>
        <w:t xml:space="preserve"> Ekki er gerð krafa um mælingu á festu og sigi samkvæmt Marshall aðferð fyrir malbik á vegi en ef framleiðandi kýs að framkvæma slíkar prófanir </w:t>
      </w:r>
      <w:r w:rsidR="00221BB1" w:rsidRPr="004B3638">
        <w:rPr>
          <w:i/>
          <w:sz w:val="20"/>
          <w:szCs w:val="20"/>
        </w:rPr>
        <w:t>geta</w:t>
      </w:r>
      <w:r w:rsidR="0060393F" w:rsidRPr="004B3638">
        <w:rPr>
          <w:i/>
          <w:sz w:val="20"/>
          <w:szCs w:val="20"/>
        </w:rPr>
        <w:t xml:space="preserve"> niðurstöður fylg</w:t>
      </w:r>
      <w:r w:rsidR="00221BB1" w:rsidRPr="004B3638">
        <w:rPr>
          <w:i/>
          <w:sz w:val="20"/>
          <w:szCs w:val="20"/>
        </w:rPr>
        <w:t>t</w:t>
      </w:r>
      <w:r w:rsidR="0060393F" w:rsidRPr="004B3638">
        <w:rPr>
          <w:i/>
          <w:sz w:val="20"/>
          <w:szCs w:val="20"/>
        </w:rPr>
        <w:t xml:space="preserve"> með öðrum </w:t>
      </w:r>
      <w:r w:rsidR="00221BB1" w:rsidRPr="004B3638">
        <w:rPr>
          <w:i/>
          <w:sz w:val="20"/>
          <w:szCs w:val="20"/>
        </w:rPr>
        <w:t>niðurstöðum</w:t>
      </w:r>
      <w:r w:rsidR="0060393F" w:rsidRPr="004B3638">
        <w:rPr>
          <w:i/>
          <w:sz w:val="20"/>
          <w:szCs w:val="20"/>
        </w:rPr>
        <w:t xml:space="preserve"> gerðarprófan</w:t>
      </w:r>
      <w:r w:rsidR="00221BB1" w:rsidRPr="004B3638">
        <w:rPr>
          <w:i/>
          <w:sz w:val="20"/>
          <w:szCs w:val="20"/>
        </w:rPr>
        <w:t>a</w:t>
      </w:r>
      <w:r w:rsidR="0060393F" w:rsidRPr="004B3638">
        <w:rPr>
          <w:i/>
          <w:sz w:val="20"/>
          <w:szCs w:val="20"/>
        </w:rPr>
        <w:t>.</w:t>
      </w:r>
    </w:p>
    <w:p w14:paraId="3088D1C6" w14:textId="77777777" w:rsidR="008C2796" w:rsidRPr="00B94BA5" w:rsidRDefault="008C2796" w:rsidP="008C2796">
      <w:pPr>
        <w:ind w:left="720"/>
        <w:rPr>
          <w:sz w:val="16"/>
          <w:szCs w:val="16"/>
        </w:rPr>
      </w:pPr>
    </w:p>
    <w:p w14:paraId="0BE47219" w14:textId="025F4B74" w:rsidR="008C2796" w:rsidRPr="00C63291" w:rsidRDefault="008C2796" w:rsidP="001A2CE3">
      <w:pPr>
        <w:ind w:firstLine="360"/>
        <w:jc w:val="both"/>
      </w:pPr>
      <w:r w:rsidRPr="00B94BA5">
        <w:t xml:space="preserve">Auk ofangreindra eiginleika skal gerðarprófa </w:t>
      </w:r>
      <w:r w:rsidR="00B5332B">
        <w:t xml:space="preserve">samkvæmt kafla </w:t>
      </w:r>
      <w:r w:rsidR="00B867DE">
        <w:t>5.3.3, 5.3.4 og 5,3,5</w:t>
      </w:r>
      <w:r w:rsidR="00B5332B">
        <w:t xml:space="preserve"> </w:t>
      </w:r>
      <w:r w:rsidR="00B867DE">
        <w:t xml:space="preserve">í ÍST EN 13108-1 og kafla 5.3.4, 5.3.5 og 5.3.6 í ÍST EN 13108-5 </w:t>
      </w:r>
      <w:r w:rsidRPr="00B94BA5">
        <w:t xml:space="preserve">og </w:t>
      </w:r>
      <w:r w:rsidR="00500065">
        <w:t>lýsa yfir</w:t>
      </w:r>
      <w:r w:rsidRPr="00B94BA5">
        <w:t xml:space="preserve"> eiginleika</w:t>
      </w:r>
      <w:r w:rsidR="00500065">
        <w:t xml:space="preserve"> (e</w:t>
      </w:r>
      <w:r w:rsidR="002A0CFF">
        <w:t>.</w:t>
      </w:r>
      <w:r w:rsidR="00500065">
        <w:t xml:space="preserve"> declared value)</w:t>
      </w:r>
      <w:r w:rsidRPr="00B94BA5">
        <w:t xml:space="preserve"> </w:t>
      </w:r>
      <w:r w:rsidR="002A0CFF">
        <w:t>AC</w:t>
      </w:r>
      <w:r w:rsidRPr="00B94BA5">
        <w:t xml:space="preserve"> </w:t>
      </w:r>
      <w:r w:rsidR="002537D1" w:rsidRPr="00B94BA5">
        <w:t>og SMA</w:t>
      </w:r>
      <w:r w:rsidR="002537D1">
        <w:t xml:space="preserve"> </w:t>
      </w:r>
      <w:r>
        <w:t>malbiks</w:t>
      </w:r>
      <w:r w:rsidR="002D451C">
        <w:t>,</w:t>
      </w:r>
      <w:r>
        <w:t xml:space="preserve"> sem ætlað er til nota þar sem umferð er </w:t>
      </w:r>
      <w:r w:rsidR="00B5332B">
        <w:t>8</w:t>
      </w:r>
      <w:r w:rsidR="00101B2F">
        <w:t>000</w:t>
      </w:r>
      <w:r w:rsidR="00E56BA2">
        <w:t xml:space="preserve"> </w:t>
      </w:r>
      <w:r>
        <w:t>ÁDU eða meiri</w:t>
      </w:r>
      <w:r w:rsidR="00B5332B" w:rsidRPr="00B5332B">
        <w:t xml:space="preserve"> </w:t>
      </w:r>
      <w:r w:rsidR="00B5332B">
        <w:t>(miðað við heildarumferð á vegi eða götu)</w:t>
      </w:r>
      <w:r w:rsidR="00F50D1A">
        <w:t xml:space="preserve"> </w:t>
      </w:r>
      <w:r w:rsidR="00B5332B">
        <w:t>eða þar sem þungaumferð er 400 ÁDU</w:t>
      </w:r>
      <w:r w:rsidR="00B5332B">
        <w:rPr>
          <w:vertAlign w:val="subscript"/>
        </w:rPr>
        <w:t>þ</w:t>
      </w:r>
      <w:r w:rsidR="00373A02">
        <w:t xml:space="preserve"> eða meiri</w:t>
      </w:r>
      <w:r w:rsidR="00B5332B">
        <w:t xml:space="preserve"> og einnig þar sem er sambærilegt álag á malbikinu, t.d. á flugvöllum, flughlöðum, hafnarsvæðum, biðstöðvum strætisvagna og öðrum vinnusvæðum þungra farartækja</w:t>
      </w:r>
      <w:r>
        <w:t>.</w:t>
      </w:r>
      <w:r w:rsidR="00A01237">
        <w:t xml:space="preserve"> </w:t>
      </w:r>
      <w:r w:rsidR="002A0CFF">
        <w:t>Hver m</w:t>
      </w:r>
      <w:r w:rsidR="00A01237">
        <w:t>albik</w:t>
      </w:r>
      <w:r w:rsidR="002A0CFF">
        <w:t>sgerð</w:t>
      </w:r>
      <w:r w:rsidR="00A01237">
        <w:t xml:space="preserve"> </w:t>
      </w:r>
      <w:r w:rsidR="00A01237" w:rsidRPr="00CD7E35">
        <w:t>skal gerðarpróf</w:t>
      </w:r>
      <w:r w:rsidR="002A0CFF">
        <w:t>u</w:t>
      </w:r>
      <w:r w:rsidR="00A01237" w:rsidRPr="00CD7E35">
        <w:t>ð í upphafi og svo á 5 ára fresti.</w:t>
      </w:r>
      <w:r w:rsidR="00C2781C">
        <w:t xml:space="preserve"> Í töflu 64-17 í malbikskafla Efnisgæðaritsins eru settar fram kröfur um skrið, slitþol og vatnsnæmi malbiks, sem taka mið af umferðarþunga.</w:t>
      </w:r>
    </w:p>
    <w:p w14:paraId="55F9E267" w14:textId="77777777" w:rsidR="004E4DC1" w:rsidRDefault="004E4DC1">
      <w:pPr>
        <w:rPr>
          <w:rFonts w:ascii="Arial" w:hAnsi="Arial" w:cs="Arial"/>
          <w:b/>
          <w:bCs/>
          <w:sz w:val="26"/>
          <w:szCs w:val="26"/>
        </w:rPr>
      </w:pPr>
      <w:r>
        <w:br w:type="page"/>
      </w:r>
    </w:p>
    <w:p w14:paraId="6E6F6188" w14:textId="77777777" w:rsidR="000A30FF" w:rsidRPr="00220C65" w:rsidRDefault="000A30FF" w:rsidP="008C2796">
      <w:pPr>
        <w:pStyle w:val="Heading3"/>
      </w:pPr>
      <w:bookmarkStart w:id="23" w:name="_Toc52971439"/>
      <w:r w:rsidRPr="00220C65">
        <w:lastRenderedPageBreak/>
        <w:t>Hjólfarapróf til mælingar á skriðeiginleikum malbiks</w:t>
      </w:r>
      <w:bookmarkEnd w:id="23"/>
      <w:r w:rsidRPr="00220C65">
        <w:t xml:space="preserve"> </w:t>
      </w:r>
    </w:p>
    <w:p w14:paraId="377BB249" w14:textId="194418DC" w:rsidR="000A30FF" w:rsidRPr="0012777F" w:rsidRDefault="00373A02" w:rsidP="008854B5">
      <w:pPr>
        <w:autoSpaceDE w:val="0"/>
        <w:autoSpaceDN w:val="0"/>
        <w:adjustRightInd w:val="0"/>
        <w:ind w:firstLine="284"/>
        <w:jc w:val="both"/>
        <w:rPr>
          <w:lang w:val="en-US" w:eastAsia="is-IS"/>
        </w:rPr>
      </w:pPr>
      <w:r>
        <w:t>Lýsing framleiðanda á</w:t>
      </w:r>
      <w:r w:rsidR="000A30FF" w:rsidRPr="004D2D7F">
        <w:t xml:space="preserve"> skriðeiginleikum í gerðarprófum sku</w:t>
      </w:r>
      <w:r w:rsidR="001A2CE3">
        <w:t>lu byggðar á hjólfaraprófi (e</w:t>
      </w:r>
      <w:r w:rsidR="00140484">
        <w:t>.</w:t>
      </w:r>
      <w:r w:rsidR="00EE79B9">
        <w:t xml:space="preserve"> </w:t>
      </w:r>
      <w:r w:rsidR="001A2CE3">
        <w:t>Wheel T</w:t>
      </w:r>
      <w:r w:rsidR="000A30FF" w:rsidRPr="004D2D7F">
        <w:t>rack</w:t>
      </w:r>
      <w:r w:rsidR="001A2CE3">
        <w:t>ing T</w:t>
      </w:r>
      <w:r w:rsidR="002D451C">
        <w:t>est</w:t>
      </w:r>
      <w:r w:rsidR="000A30FF" w:rsidRPr="004D2D7F">
        <w:t xml:space="preserve">) samkvæmt </w:t>
      </w:r>
      <w:r w:rsidR="00EE79B9">
        <w:t>grein</w:t>
      </w:r>
      <w:r w:rsidR="00EE79B9" w:rsidRPr="004D2D7F">
        <w:t xml:space="preserve"> </w:t>
      </w:r>
      <w:r w:rsidR="000A30FF" w:rsidRPr="004D2D7F">
        <w:t>5.</w:t>
      </w:r>
      <w:r w:rsidR="00C41509">
        <w:t>3</w:t>
      </w:r>
      <w:r w:rsidR="000A30FF" w:rsidRPr="004D2D7F">
        <w:t>.</w:t>
      </w:r>
      <w:r w:rsidR="00C41509">
        <w:t>5, töflu 14,</w:t>
      </w:r>
      <w:r w:rsidR="000A30FF" w:rsidRPr="004D2D7F">
        <w:t xml:space="preserve"> í ÍST EN 13108-1</w:t>
      </w:r>
      <w:r w:rsidR="003F2DC7" w:rsidRPr="004D2D7F">
        <w:t xml:space="preserve"> og </w:t>
      </w:r>
      <w:r w:rsidR="00EE79B9">
        <w:t>grein</w:t>
      </w:r>
      <w:r w:rsidR="00EE79B9" w:rsidRPr="004D2D7F">
        <w:t xml:space="preserve"> </w:t>
      </w:r>
      <w:r w:rsidR="003F2DC7" w:rsidRPr="004D2D7F">
        <w:t>5.</w:t>
      </w:r>
      <w:r w:rsidR="00C41509">
        <w:t>3.6, töflu 14,</w:t>
      </w:r>
      <w:r w:rsidR="003F2DC7" w:rsidRPr="004D2D7F">
        <w:t xml:space="preserve"> í ÍST EN 13108-5</w:t>
      </w:r>
      <w:r w:rsidR="000A30FF" w:rsidRPr="004D2D7F">
        <w:t>. Prófunin skal gerð samkvæmt staðli ÍST EN 12697-22</w:t>
      </w:r>
      <w:r w:rsidR="00B867DE">
        <w:t>, grein 6.3</w:t>
      </w:r>
      <w:r w:rsidR="000A30FF" w:rsidRPr="004D2D7F">
        <w:t>, aðferð B (</w:t>
      </w:r>
      <w:r w:rsidR="00B867DE">
        <w:t xml:space="preserve">e. </w:t>
      </w:r>
      <w:r w:rsidR="000A30FF" w:rsidRPr="004D2D7F">
        <w:t>small device</w:t>
      </w:r>
      <w:r w:rsidR="00B867DE">
        <w:t>, RD</w:t>
      </w:r>
      <w:r w:rsidR="00B867DE" w:rsidRPr="00B867DE">
        <w:rPr>
          <w:vertAlign w:val="subscript"/>
        </w:rPr>
        <w:t>AIR max</w:t>
      </w:r>
      <w:r w:rsidR="000A30FF" w:rsidRPr="004D2D7F">
        <w:t xml:space="preserve">) fyrir </w:t>
      </w:r>
      <w:r w:rsidR="00B867DE">
        <w:t>Stíf</w:t>
      </w:r>
      <w:r w:rsidR="000A30FF" w:rsidRPr="004D2D7F">
        <w:t>malbik</w:t>
      </w:r>
      <w:r w:rsidR="00B867DE">
        <w:t xml:space="preserve"> og Steinríkt malbik</w:t>
      </w:r>
      <w:r w:rsidR="000A30FF" w:rsidRPr="004D2D7F">
        <w:t xml:space="preserve"> við 45°C. Prófuð skulu sýni sem þjöppuð eru samkvæmt</w:t>
      </w:r>
      <w:r w:rsidR="00543CD1">
        <w:t xml:space="preserve"> </w:t>
      </w:r>
      <w:r w:rsidR="00EE79B9">
        <w:t xml:space="preserve">grein </w:t>
      </w:r>
      <w:r w:rsidR="00543CD1">
        <w:t>7.2.2 í</w:t>
      </w:r>
      <w:r w:rsidR="000A30FF" w:rsidRPr="004D2D7F">
        <w:t xml:space="preserve"> ÍST EN 12697-33</w:t>
      </w:r>
      <w:r w:rsidR="00543CD1" w:rsidRPr="00543CD1">
        <w:t xml:space="preserve">: </w:t>
      </w:r>
      <w:r w:rsidR="00543CD1" w:rsidRPr="00543CD1">
        <w:rPr>
          <w:lang w:val="en-US" w:eastAsia="is-IS"/>
        </w:rPr>
        <w:t>Bituminous mixtures - Test met</w:t>
      </w:r>
      <w:r w:rsidR="00543CD1">
        <w:rPr>
          <w:lang w:val="en-US" w:eastAsia="is-IS"/>
        </w:rPr>
        <w:t xml:space="preserve">hods for hot mix asphalt – Part </w:t>
      </w:r>
      <w:r w:rsidR="00543CD1" w:rsidRPr="00543CD1">
        <w:rPr>
          <w:lang w:val="en-US" w:eastAsia="is-IS"/>
        </w:rPr>
        <w:t>33: Specimen prepared by roller compactor</w:t>
      </w:r>
      <w:r w:rsidR="000A30FF" w:rsidRPr="00543CD1">
        <w:t>.</w:t>
      </w:r>
    </w:p>
    <w:p w14:paraId="1F736719" w14:textId="77777777" w:rsidR="000A30FF" w:rsidRPr="00220C65" w:rsidRDefault="000A30FF" w:rsidP="008C2796">
      <w:pPr>
        <w:pStyle w:val="Heading3"/>
      </w:pPr>
      <w:bookmarkStart w:id="24" w:name="_Toc52971440"/>
      <w:r w:rsidRPr="00220C65">
        <w:t>Slitþolspróf til mælingar á þoli malbiks gagnvart nagladekkjaáraun</w:t>
      </w:r>
      <w:bookmarkEnd w:id="24"/>
    </w:p>
    <w:p w14:paraId="2946F5FC" w14:textId="58BEA563" w:rsidR="000A30FF" w:rsidRPr="00F50D1A" w:rsidRDefault="000A30FF" w:rsidP="008854B5">
      <w:pPr>
        <w:ind w:firstLine="284"/>
        <w:jc w:val="both"/>
      </w:pPr>
      <w:r w:rsidRPr="004D2D7F">
        <w:t xml:space="preserve">Lýsing framleiðanda á sliteiginleikum í gerðarprófum skulu byggðar á slitþolsprófi samkvæmt </w:t>
      </w:r>
      <w:r w:rsidR="00EE79B9">
        <w:t>grein</w:t>
      </w:r>
      <w:r w:rsidR="00EE79B9" w:rsidRPr="004D2D7F">
        <w:t xml:space="preserve"> </w:t>
      </w:r>
      <w:r w:rsidRPr="004D2D7F">
        <w:t>5.</w:t>
      </w:r>
      <w:r w:rsidR="00C41509">
        <w:t>3</w:t>
      </w:r>
      <w:r w:rsidRPr="004D2D7F">
        <w:t>.</w:t>
      </w:r>
      <w:r w:rsidR="00C41509">
        <w:t>4, töflu 10,</w:t>
      </w:r>
      <w:r w:rsidRPr="004D2D7F">
        <w:t xml:space="preserve"> í ÍST EN 13108-1</w:t>
      </w:r>
      <w:r w:rsidR="00F7635D">
        <w:t xml:space="preserve"> og </w:t>
      </w:r>
      <w:r w:rsidR="00EE79B9">
        <w:t xml:space="preserve">grein </w:t>
      </w:r>
      <w:r w:rsidR="00F7635D">
        <w:t>5.</w:t>
      </w:r>
      <w:r w:rsidR="00D3402C">
        <w:t>3.5, töflu 10,</w:t>
      </w:r>
      <w:r w:rsidR="00F7635D">
        <w:t xml:space="preserve"> í ÍST EN 13108-5</w:t>
      </w:r>
      <w:r w:rsidRPr="004D2D7F">
        <w:t>. Prófunin skal gerð samkvæmt staðli ÍST EN 12697-16, aðferð A (</w:t>
      </w:r>
      <w:r w:rsidR="002D451C">
        <w:t>e</w:t>
      </w:r>
      <w:r w:rsidR="00D3402C">
        <w:t>.</w:t>
      </w:r>
      <w:r w:rsidR="002D451C">
        <w:t xml:space="preserve"> </w:t>
      </w:r>
      <w:r w:rsidR="00291630">
        <w:t>A</w:t>
      </w:r>
      <w:r w:rsidR="00D3402C">
        <w:t>brasion</w:t>
      </w:r>
      <w:r w:rsidR="001A2CE3">
        <w:t xml:space="preserve"> </w:t>
      </w:r>
      <w:r w:rsidR="00B867DE">
        <w:t>by studded tyres-method A</w:t>
      </w:r>
      <w:r w:rsidR="00521717">
        <w:t xml:space="preserve"> sem er byggð á Prall aðferðinni</w:t>
      </w:r>
      <w:r w:rsidRPr="004D2D7F">
        <w:t xml:space="preserve">) fyrir </w:t>
      </w:r>
      <w:r w:rsidR="002767BA">
        <w:t>Stíf</w:t>
      </w:r>
      <w:r w:rsidR="002767BA" w:rsidRPr="00F50D1A">
        <w:t>malbik</w:t>
      </w:r>
      <w:r w:rsidR="002767BA">
        <w:t xml:space="preserve"> og Steinríkt malbik</w:t>
      </w:r>
      <w:r w:rsidRPr="00F50D1A">
        <w:t>.</w:t>
      </w:r>
      <w:r w:rsidR="00521E53" w:rsidRPr="00F50D1A">
        <w:t xml:space="preserve"> Við sýnagerð </w:t>
      </w:r>
      <w:r w:rsidR="00EE79B9">
        <w:t>skal</w:t>
      </w:r>
      <w:r w:rsidR="00EE79B9" w:rsidRPr="00F50D1A">
        <w:t xml:space="preserve"> </w:t>
      </w:r>
      <w:r w:rsidR="00521E53" w:rsidRPr="00F50D1A">
        <w:t xml:space="preserve">farið eftir </w:t>
      </w:r>
      <w:r w:rsidR="00EE79B9">
        <w:t>grein</w:t>
      </w:r>
      <w:r w:rsidR="00EE79B9" w:rsidRPr="00F50D1A">
        <w:t xml:space="preserve"> </w:t>
      </w:r>
      <w:r w:rsidR="00543CD1" w:rsidRPr="00F50D1A">
        <w:t xml:space="preserve">5.1 í </w:t>
      </w:r>
      <w:r w:rsidR="00521E53" w:rsidRPr="00F50D1A">
        <w:t>staðli ÍST EN 12697-30</w:t>
      </w:r>
      <w:r w:rsidR="00543CD1" w:rsidRPr="00F50D1A">
        <w:t>: Bituminous mixtures — Test methods for hot mix asphalt — Part 30: Specimen preparation by impact compactor</w:t>
      </w:r>
      <w:r w:rsidR="00521717">
        <w:t>.</w:t>
      </w:r>
      <w:r w:rsidR="004E4DC1" w:rsidRPr="00F50D1A">
        <w:t xml:space="preserve"> </w:t>
      </w:r>
      <w:r w:rsidR="00521717">
        <w:t xml:space="preserve">Sýni eru þjöppuð </w:t>
      </w:r>
      <w:r w:rsidR="002767BA">
        <w:t xml:space="preserve">með </w:t>
      </w:r>
      <w:r w:rsidR="004E4DC1" w:rsidRPr="00F50D1A">
        <w:t>50 högg</w:t>
      </w:r>
      <w:r w:rsidR="002767BA">
        <w:t>um</w:t>
      </w:r>
      <w:r w:rsidR="004E4DC1" w:rsidRPr="00F50D1A">
        <w:t xml:space="preserve"> á hvorn enda sýnis</w:t>
      </w:r>
      <w:r w:rsidR="00521E53" w:rsidRPr="00F50D1A">
        <w:t>.</w:t>
      </w:r>
    </w:p>
    <w:p w14:paraId="22579E77" w14:textId="77777777" w:rsidR="000A30FF" w:rsidRPr="009A3FE4" w:rsidRDefault="000A30FF" w:rsidP="008C2796">
      <w:pPr>
        <w:pStyle w:val="Heading3"/>
      </w:pPr>
      <w:bookmarkStart w:id="25" w:name="_Toc52971441"/>
      <w:r w:rsidRPr="009A3FE4">
        <w:t>Vatnsnæm</w:t>
      </w:r>
      <w:r w:rsidR="00E6134D">
        <w:t>i</w:t>
      </w:r>
      <w:r w:rsidRPr="009A3FE4">
        <w:t>próf til mælingar á viðloðunareiginleikum malbiks</w:t>
      </w:r>
      <w:bookmarkEnd w:id="25"/>
    </w:p>
    <w:p w14:paraId="1666ED83" w14:textId="29B044C6" w:rsidR="00A01237" w:rsidRPr="00F50D1A" w:rsidRDefault="000A30FF" w:rsidP="008854B5">
      <w:pPr>
        <w:ind w:firstLine="284"/>
        <w:jc w:val="both"/>
      </w:pPr>
      <w:r w:rsidRPr="00F50D1A">
        <w:t xml:space="preserve">Lýsing framleiðanda á viðloðunareiginleikum í gerðarprófum </w:t>
      </w:r>
      <w:r w:rsidR="00EE79B9">
        <w:t xml:space="preserve">skal </w:t>
      </w:r>
      <w:r w:rsidR="001A2CE3">
        <w:t>byggð á vatnsnæmiprófi (e</w:t>
      </w:r>
      <w:r w:rsidR="00D3402C">
        <w:t>.</w:t>
      </w:r>
      <w:r w:rsidR="001A2CE3">
        <w:t xml:space="preserve"> Water S</w:t>
      </w:r>
      <w:r w:rsidRPr="00F50D1A">
        <w:t xml:space="preserve">ensitivity) samkvæmt </w:t>
      </w:r>
      <w:r w:rsidR="00EE79B9">
        <w:t>grein</w:t>
      </w:r>
      <w:r w:rsidR="00EE79B9" w:rsidRPr="00F50D1A">
        <w:t xml:space="preserve"> </w:t>
      </w:r>
      <w:r w:rsidRPr="00F50D1A">
        <w:t>5.</w:t>
      </w:r>
      <w:r w:rsidR="00C41509">
        <w:t>3</w:t>
      </w:r>
      <w:r w:rsidRPr="00F50D1A">
        <w:t>.</w:t>
      </w:r>
      <w:r w:rsidR="00C41509">
        <w:t>3, töflu 9,</w:t>
      </w:r>
      <w:r w:rsidRPr="00F50D1A">
        <w:t xml:space="preserve"> í ÍST EN 13108-1</w:t>
      </w:r>
      <w:r w:rsidR="00F7635D" w:rsidRPr="00F50D1A">
        <w:t xml:space="preserve"> og </w:t>
      </w:r>
      <w:r w:rsidR="00EE79B9">
        <w:t>grein</w:t>
      </w:r>
      <w:r w:rsidR="00EE79B9" w:rsidRPr="00F50D1A">
        <w:t xml:space="preserve"> </w:t>
      </w:r>
      <w:r w:rsidR="00F7635D" w:rsidRPr="00F50D1A">
        <w:t>5.</w:t>
      </w:r>
      <w:r w:rsidR="00D3402C">
        <w:t>3.4, töflu 9,</w:t>
      </w:r>
      <w:r w:rsidR="00F7635D" w:rsidRPr="00F50D1A">
        <w:t xml:space="preserve"> í ÍST EN 13108-5</w:t>
      </w:r>
      <w:r w:rsidRPr="00F50D1A">
        <w:t>. Prófunin skal gerð samkvæmt ÍST EN 12697-12, aðferð A (</w:t>
      </w:r>
      <w:r w:rsidR="0060393F" w:rsidRPr="00F50D1A">
        <w:t>e</w:t>
      </w:r>
      <w:r w:rsidR="00161887">
        <w:t>.</w:t>
      </w:r>
      <w:r w:rsidR="0060393F" w:rsidRPr="00F50D1A">
        <w:t xml:space="preserve"> </w:t>
      </w:r>
      <w:r w:rsidRPr="00F50D1A">
        <w:t>Indirect Tensile Strength Ratio</w:t>
      </w:r>
      <w:r w:rsidR="002767BA">
        <w:t>, ITSR</w:t>
      </w:r>
      <w:r w:rsidRPr="00F50D1A">
        <w:t xml:space="preserve">) fyrir </w:t>
      </w:r>
      <w:r w:rsidR="002767BA">
        <w:t>Stífm</w:t>
      </w:r>
      <w:r w:rsidR="002767BA" w:rsidRPr="00F50D1A">
        <w:t>albik</w:t>
      </w:r>
      <w:r w:rsidR="002767BA">
        <w:t xml:space="preserve"> og Steinríkt malbik</w:t>
      </w:r>
      <w:r w:rsidR="002767BA" w:rsidRPr="00F50D1A">
        <w:t xml:space="preserve"> </w:t>
      </w:r>
      <w:r w:rsidR="002537D1" w:rsidRPr="00F50D1A">
        <w:t xml:space="preserve">við </w:t>
      </w:r>
      <w:r w:rsidR="002767BA">
        <w:t>1</w:t>
      </w:r>
      <w:r w:rsidR="002537D1" w:rsidRPr="00F50D1A">
        <w:t>5°C</w:t>
      </w:r>
      <w:r w:rsidR="002767BA">
        <w:t xml:space="preserve"> í samræmi við kafla D.4 í viðauka D í ÍST EN 13108-20</w:t>
      </w:r>
      <w:r w:rsidR="00A01237" w:rsidRPr="00F50D1A">
        <w:t>.</w:t>
      </w:r>
      <w:r w:rsidR="00521E53" w:rsidRPr="00F50D1A">
        <w:t xml:space="preserve"> Við sýnagerð er farið eftir </w:t>
      </w:r>
      <w:r w:rsidR="00EE79B9">
        <w:t>grein</w:t>
      </w:r>
      <w:r w:rsidR="00EE79B9" w:rsidRPr="00F50D1A">
        <w:t xml:space="preserve"> </w:t>
      </w:r>
      <w:r w:rsidR="00543CD1" w:rsidRPr="00F50D1A">
        <w:t xml:space="preserve">5.1 í </w:t>
      </w:r>
      <w:r w:rsidR="00521E53" w:rsidRPr="00F50D1A">
        <w:t>staðli ÍST EN 12697-30</w:t>
      </w:r>
      <w:r w:rsidR="00543CD1" w:rsidRPr="00F50D1A">
        <w:t xml:space="preserve">: Bituminous mixtures — Test methods for hot mix asphalt — Part 30: Specimen preparation </w:t>
      </w:r>
      <w:r w:rsidR="00543CD1" w:rsidRPr="00C2081D">
        <w:t>by impact compactor</w:t>
      </w:r>
      <w:r w:rsidR="00521717">
        <w:t>. Sýni eru þjöppuð</w:t>
      </w:r>
      <w:r w:rsidR="004E4DC1" w:rsidRPr="00C2081D">
        <w:t xml:space="preserve"> </w:t>
      </w:r>
      <w:r w:rsidR="002767BA">
        <w:t xml:space="preserve">með </w:t>
      </w:r>
      <w:r w:rsidR="00B5332B">
        <w:t>35</w:t>
      </w:r>
      <w:r w:rsidR="00B5332B" w:rsidRPr="00C2081D">
        <w:t xml:space="preserve"> </w:t>
      </w:r>
      <w:r w:rsidR="004E4DC1" w:rsidRPr="00C2081D">
        <w:t>högg</w:t>
      </w:r>
      <w:r w:rsidR="002767BA">
        <w:t>um</w:t>
      </w:r>
      <w:r w:rsidR="004E4DC1" w:rsidRPr="00C2081D">
        <w:t xml:space="preserve"> á hvorn enda sý</w:t>
      </w:r>
      <w:r w:rsidR="004E4DC1" w:rsidRPr="00F50D1A">
        <w:t>nis</w:t>
      </w:r>
      <w:r w:rsidR="00521E53" w:rsidRPr="00F50D1A">
        <w:t>.</w:t>
      </w:r>
    </w:p>
    <w:p w14:paraId="05B26980" w14:textId="77777777" w:rsidR="000A30FF" w:rsidRPr="00F50D1A" w:rsidRDefault="000A30FF" w:rsidP="00E56BA2">
      <w:pPr>
        <w:pStyle w:val="Heading3"/>
      </w:pPr>
      <w:bookmarkStart w:id="26" w:name="_Toc52971442"/>
      <w:r w:rsidRPr="00F50D1A">
        <w:t>Framsetning merkingar á malbiksblöndu</w:t>
      </w:r>
      <w:bookmarkEnd w:id="26"/>
    </w:p>
    <w:p w14:paraId="2885FBBD" w14:textId="5F35AA2F" w:rsidR="000A30FF" w:rsidRPr="004D2D7F" w:rsidRDefault="00EE79B9" w:rsidP="006E13A0">
      <w:pPr>
        <w:ind w:firstLine="284"/>
        <w:jc w:val="both"/>
      </w:pPr>
      <w:r>
        <w:t>Í k</w:t>
      </w:r>
      <w:r w:rsidR="000A30FF" w:rsidRPr="004D2D7F">
        <w:t>afl</w:t>
      </w:r>
      <w:r>
        <w:t>a</w:t>
      </w:r>
      <w:r w:rsidR="000A30FF" w:rsidRPr="004D2D7F">
        <w:t xml:space="preserve"> 7 í </w:t>
      </w:r>
      <w:r w:rsidR="00F04D24">
        <w:t>framleiðslu</w:t>
      </w:r>
      <w:r w:rsidR="000A30FF" w:rsidRPr="004D2D7F">
        <w:t>st</w:t>
      </w:r>
      <w:r w:rsidR="00F04D24">
        <w:t>ö</w:t>
      </w:r>
      <w:r w:rsidR="000A30FF" w:rsidRPr="004D2D7F">
        <w:t>ðl</w:t>
      </w:r>
      <w:r w:rsidR="00F04D24">
        <w:t>um</w:t>
      </w:r>
      <w:r w:rsidR="0060393F">
        <w:t xml:space="preserve"> </w:t>
      </w:r>
      <w:r w:rsidR="00F7635D">
        <w:t xml:space="preserve">ÍST EN </w:t>
      </w:r>
      <w:r w:rsidR="0060393F">
        <w:t>13108</w:t>
      </w:r>
      <w:r w:rsidR="00F7635D">
        <w:t>-1 ÍST EN 13108-5</w:t>
      </w:r>
      <w:r w:rsidR="000A30FF" w:rsidRPr="004D2D7F">
        <w:t xml:space="preserve"> </w:t>
      </w:r>
      <w:r>
        <w:t>er</w:t>
      </w:r>
      <w:r w:rsidR="0029737A">
        <w:t xml:space="preserve"> </w:t>
      </w:r>
      <w:r w:rsidR="000A30FF" w:rsidRPr="004D2D7F">
        <w:t>tilgrein</w:t>
      </w:r>
      <w:r>
        <w:t>t</w:t>
      </w:r>
      <w:r w:rsidR="000A30FF" w:rsidRPr="004D2D7F">
        <w:t xml:space="preserve"> hvaða lágmarksmerkingar skuli fylgja hverri malbiksgerð. Hérlendis hefur verið valið að nota</w:t>
      </w:r>
      <w:r w:rsidR="00A27569">
        <w:t xml:space="preserve"> </w:t>
      </w:r>
      <w:r>
        <w:t>AC</w:t>
      </w:r>
      <w:r w:rsidR="000A30FF" w:rsidRPr="004D2D7F">
        <w:t xml:space="preserve"> </w:t>
      </w:r>
      <w:r w:rsidR="00C2081D">
        <w:t xml:space="preserve">fyrir </w:t>
      </w:r>
      <w:r w:rsidR="00D67C2C">
        <w:t>S</w:t>
      </w:r>
      <w:r w:rsidR="00D3402C">
        <w:t>tíf</w:t>
      </w:r>
      <w:r w:rsidR="00C2081D">
        <w:t xml:space="preserve">malbik </w:t>
      </w:r>
      <w:r w:rsidR="00D67C2C">
        <w:t xml:space="preserve">(e. </w:t>
      </w:r>
      <w:r w:rsidR="000A30FF" w:rsidRPr="004D2D7F">
        <w:t>Asphalt Concrete</w:t>
      </w:r>
      <w:r w:rsidR="00D67C2C">
        <w:t>, AC surf), BRL fyrir buðrarlagsmalbik (e. AC base)</w:t>
      </w:r>
      <w:r w:rsidR="00723594">
        <w:t xml:space="preserve"> og SMA fyrir </w:t>
      </w:r>
      <w:r w:rsidR="00D67C2C">
        <w:t>S</w:t>
      </w:r>
      <w:r>
        <w:t xml:space="preserve">teinríkt </w:t>
      </w:r>
      <w:r w:rsidR="00424F4A">
        <w:t>malbiks</w:t>
      </w:r>
      <w:r w:rsidR="00723594">
        <w:t xml:space="preserve"> </w:t>
      </w:r>
      <w:r w:rsidR="00D67C2C">
        <w:t xml:space="preserve">(e. </w:t>
      </w:r>
      <w:r w:rsidR="00723594">
        <w:t>Stone Mastic Asphalt</w:t>
      </w:r>
      <w:r w:rsidR="00D67C2C">
        <w:t>, SMA surf)</w:t>
      </w:r>
      <w:r w:rsidR="000A30FF" w:rsidRPr="004D2D7F">
        <w:t>.</w:t>
      </w:r>
      <w:r w:rsidR="0060393F">
        <w:t xml:space="preserve"> </w:t>
      </w:r>
      <w:r w:rsidR="00D67C2C">
        <w:t xml:space="preserve">Í merkingu malbiksgerðar </w:t>
      </w:r>
      <w:r w:rsidR="0060393F">
        <w:t xml:space="preserve">skal gefa upp </w:t>
      </w:r>
      <w:r w:rsidR="00A27569">
        <w:t xml:space="preserve">stungudýpt </w:t>
      </w:r>
      <w:r w:rsidR="0060393F">
        <w:t>biksins</w:t>
      </w:r>
      <w:r w:rsidR="00F7635D">
        <w:t xml:space="preserve"> (</w:t>
      </w:r>
      <w:r w:rsidR="00A27569">
        <w:t>e</w:t>
      </w:r>
      <w:r w:rsidR="00D3402C">
        <w:t>.</w:t>
      </w:r>
      <w:r w:rsidR="00A27569">
        <w:t xml:space="preserve"> </w:t>
      </w:r>
      <w:r w:rsidR="00F7635D">
        <w:t>Paving Grade)</w:t>
      </w:r>
      <w:r w:rsidR="00D67C2C">
        <w:t>,</w:t>
      </w:r>
      <w:r w:rsidR="0060393F">
        <w:t xml:space="preserve"> t.d. </w:t>
      </w:r>
      <w:r w:rsidR="00C2081D">
        <w:t xml:space="preserve">PG </w:t>
      </w:r>
      <w:r w:rsidR="00D3402C">
        <w:t>7</w:t>
      </w:r>
      <w:r w:rsidR="0060393F">
        <w:t>0/1</w:t>
      </w:r>
      <w:r w:rsidR="00D3402C">
        <w:t>0</w:t>
      </w:r>
      <w:r w:rsidR="0060393F">
        <w:t>0</w:t>
      </w:r>
      <w:r w:rsidR="00C2081D">
        <w:t>.</w:t>
      </w:r>
      <w:r w:rsidR="000A30FF" w:rsidRPr="004D2D7F">
        <w:t xml:space="preserve"> Jafnframt </w:t>
      </w:r>
      <w:r w:rsidR="0060393F">
        <w:t>skal</w:t>
      </w:r>
      <w:r w:rsidR="00C2081D">
        <w:t xml:space="preserve"> </w:t>
      </w:r>
      <w:r>
        <w:t xml:space="preserve">í merkingunni </w:t>
      </w:r>
      <w:r w:rsidR="000A30FF" w:rsidRPr="004D2D7F">
        <w:t>gefa upp íslenska skammstöfun</w:t>
      </w:r>
      <w:r w:rsidR="00D67C2C">
        <w:t xml:space="preserve"> (AC, BRL, SMA)</w:t>
      </w:r>
      <w:r w:rsidR="000A30FF" w:rsidRPr="004D2D7F">
        <w:t xml:space="preserve"> </w:t>
      </w:r>
      <w:r w:rsidR="00085E63">
        <w:t>ásamt upplýsingum um efri flokkunarstærð steinefnis</w:t>
      </w:r>
      <w:r w:rsidR="00D67C2C">
        <w:t>.</w:t>
      </w:r>
      <w:r w:rsidR="000A30FF" w:rsidRPr="004D2D7F">
        <w:t xml:space="preserve"> </w:t>
      </w:r>
    </w:p>
    <w:p w14:paraId="371749E4" w14:textId="77777777" w:rsidR="000A30FF" w:rsidRPr="004D2D7F" w:rsidRDefault="000A30FF" w:rsidP="000A30FF">
      <w:pPr>
        <w:pStyle w:val="Merknad"/>
        <w:spacing w:after="0"/>
        <w:ind w:left="708" w:hanging="424"/>
        <w:rPr>
          <w:rFonts w:ascii="Times New Roman" w:hAnsi="Times New Roman"/>
          <w:sz w:val="24"/>
          <w:szCs w:val="24"/>
        </w:rPr>
      </w:pPr>
    </w:p>
    <w:p w14:paraId="137A8D91" w14:textId="73D7F432" w:rsidR="00723594" w:rsidRPr="006E13A0" w:rsidRDefault="000A30FF" w:rsidP="000A30FF">
      <w:pPr>
        <w:pStyle w:val="Merknad"/>
        <w:spacing w:after="0"/>
        <w:ind w:left="708" w:hanging="424"/>
        <w:rPr>
          <w:rFonts w:ascii="Times New Roman" w:hAnsi="Times New Roman"/>
          <w:szCs w:val="18"/>
        </w:rPr>
      </w:pPr>
      <w:r w:rsidRPr="006E13A0">
        <w:rPr>
          <w:rFonts w:ascii="Times New Roman" w:hAnsi="Times New Roman"/>
          <w:szCs w:val="18"/>
        </w:rPr>
        <w:t>DÆMI:</w:t>
      </w:r>
      <w:r w:rsidRPr="006E13A0">
        <w:rPr>
          <w:rFonts w:ascii="Times New Roman" w:hAnsi="Times New Roman"/>
          <w:szCs w:val="18"/>
        </w:rPr>
        <w:tab/>
      </w:r>
      <w:r w:rsidRPr="006E13A0">
        <w:rPr>
          <w:rFonts w:ascii="Times New Roman" w:hAnsi="Times New Roman"/>
          <w:szCs w:val="18"/>
        </w:rPr>
        <w:tab/>
      </w:r>
      <w:r w:rsidR="00D3402C">
        <w:rPr>
          <w:rFonts w:ascii="Times New Roman" w:hAnsi="Times New Roman"/>
          <w:szCs w:val="18"/>
        </w:rPr>
        <w:t>AC</w:t>
      </w:r>
      <w:r w:rsidRPr="006E13A0">
        <w:rPr>
          <w:rFonts w:ascii="Times New Roman" w:hAnsi="Times New Roman"/>
          <w:szCs w:val="18"/>
        </w:rPr>
        <w:t xml:space="preserve">11 </w:t>
      </w:r>
      <w:r w:rsidR="00C2081D" w:rsidRPr="006E13A0">
        <w:rPr>
          <w:rFonts w:ascii="Times New Roman" w:hAnsi="Times New Roman"/>
          <w:szCs w:val="18"/>
        </w:rPr>
        <w:t>–</w:t>
      </w:r>
      <w:r w:rsidRPr="006E13A0">
        <w:rPr>
          <w:rFonts w:ascii="Times New Roman" w:hAnsi="Times New Roman"/>
          <w:szCs w:val="18"/>
        </w:rPr>
        <w:t xml:space="preserve"> 70/100 </w:t>
      </w:r>
      <w:r w:rsidR="00D67C2C">
        <w:rPr>
          <w:rFonts w:ascii="Times New Roman" w:hAnsi="Times New Roman"/>
          <w:szCs w:val="18"/>
        </w:rPr>
        <w:t>surf</w:t>
      </w:r>
      <w:r w:rsidR="00D67C2C" w:rsidRPr="006E13A0">
        <w:rPr>
          <w:rFonts w:ascii="Times New Roman" w:hAnsi="Times New Roman"/>
          <w:szCs w:val="18"/>
        </w:rPr>
        <w:t xml:space="preserve"> </w:t>
      </w:r>
      <w:r w:rsidR="00085E63" w:rsidRPr="006E13A0">
        <w:rPr>
          <w:rFonts w:ascii="Times New Roman" w:hAnsi="Times New Roman"/>
          <w:szCs w:val="18"/>
        </w:rPr>
        <w:t xml:space="preserve">* </w:t>
      </w:r>
      <w:r w:rsidR="00C2081D" w:rsidRPr="006E13A0">
        <w:rPr>
          <w:rFonts w:ascii="Times New Roman" w:hAnsi="Times New Roman"/>
          <w:szCs w:val="18"/>
        </w:rPr>
        <w:tab/>
      </w:r>
      <w:r w:rsidR="00C2081D" w:rsidRPr="006E13A0">
        <w:rPr>
          <w:rFonts w:ascii="Times New Roman" w:hAnsi="Times New Roman"/>
          <w:szCs w:val="18"/>
        </w:rPr>
        <w:tab/>
      </w:r>
    </w:p>
    <w:p w14:paraId="1A30B262" w14:textId="36344CE0" w:rsidR="00D67C2C" w:rsidRDefault="000A30FF" w:rsidP="000A30FF">
      <w:pPr>
        <w:pStyle w:val="Merknad"/>
        <w:spacing w:after="0"/>
        <w:ind w:left="708" w:hanging="424"/>
        <w:rPr>
          <w:rFonts w:ascii="Times New Roman" w:hAnsi="Times New Roman"/>
          <w:szCs w:val="18"/>
        </w:rPr>
      </w:pPr>
      <w:r w:rsidRPr="006E13A0">
        <w:rPr>
          <w:rFonts w:ascii="Times New Roman" w:hAnsi="Times New Roman"/>
          <w:szCs w:val="18"/>
        </w:rPr>
        <w:tab/>
      </w:r>
      <w:r w:rsidRPr="006E13A0">
        <w:rPr>
          <w:rFonts w:ascii="Times New Roman" w:hAnsi="Times New Roman"/>
          <w:szCs w:val="18"/>
        </w:rPr>
        <w:tab/>
      </w:r>
      <w:r w:rsidRPr="006E13A0">
        <w:rPr>
          <w:rFonts w:ascii="Times New Roman" w:hAnsi="Times New Roman"/>
          <w:szCs w:val="18"/>
        </w:rPr>
        <w:tab/>
      </w:r>
      <w:r w:rsidR="00D67C2C">
        <w:rPr>
          <w:rFonts w:ascii="Times New Roman" w:hAnsi="Times New Roman"/>
          <w:szCs w:val="18"/>
        </w:rPr>
        <w:t>BRL</w:t>
      </w:r>
      <w:r w:rsidRPr="006E13A0">
        <w:rPr>
          <w:rFonts w:ascii="Times New Roman" w:hAnsi="Times New Roman"/>
          <w:szCs w:val="18"/>
        </w:rPr>
        <w:t xml:space="preserve">16 </w:t>
      </w:r>
      <w:r w:rsidR="00C2081D" w:rsidRPr="006E13A0">
        <w:rPr>
          <w:rFonts w:ascii="Times New Roman" w:hAnsi="Times New Roman"/>
          <w:szCs w:val="18"/>
        </w:rPr>
        <w:t>–</w:t>
      </w:r>
      <w:r w:rsidRPr="006E13A0">
        <w:rPr>
          <w:rFonts w:ascii="Times New Roman" w:hAnsi="Times New Roman"/>
          <w:szCs w:val="18"/>
        </w:rPr>
        <w:t xml:space="preserve"> 110/150 </w:t>
      </w:r>
      <w:r w:rsidR="00D67C2C">
        <w:rPr>
          <w:rFonts w:ascii="Times New Roman" w:hAnsi="Times New Roman"/>
          <w:szCs w:val="18"/>
        </w:rPr>
        <w:t>base</w:t>
      </w:r>
      <w:r w:rsidR="00D67C2C" w:rsidRPr="006E13A0">
        <w:rPr>
          <w:rFonts w:ascii="Times New Roman" w:hAnsi="Times New Roman"/>
          <w:szCs w:val="18"/>
        </w:rPr>
        <w:t xml:space="preserve"> </w:t>
      </w:r>
      <w:r w:rsidR="00D41340">
        <w:rPr>
          <w:rFonts w:ascii="Times New Roman" w:hAnsi="Times New Roman"/>
          <w:szCs w:val="18"/>
        </w:rPr>
        <w:t>**</w:t>
      </w:r>
    </w:p>
    <w:p w14:paraId="5F95B011" w14:textId="45953896" w:rsidR="000A30FF" w:rsidRPr="006E13A0" w:rsidRDefault="00D67C2C" w:rsidP="000A30FF">
      <w:pPr>
        <w:pStyle w:val="Merknad"/>
        <w:spacing w:after="0"/>
        <w:ind w:left="708" w:hanging="424"/>
        <w:rPr>
          <w:rFonts w:ascii="Times New Roman" w:hAnsi="Times New Roman"/>
          <w:szCs w:val="18"/>
        </w:rPr>
      </w:pPr>
      <w:r>
        <w:rPr>
          <w:rFonts w:ascii="Times New Roman" w:hAnsi="Times New Roman"/>
          <w:szCs w:val="18"/>
        </w:rPr>
        <w:tab/>
      </w:r>
      <w:r>
        <w:rPr>
          <w:rFonts w:ascii="Times New Roman" w:hAnsi="Times New Roman"/>
          <w:szCs w:val="18"/>
        </w:rPr>
        <w:tab/>
      </w:r>
      <w:r>
        <w:rPr>
          <w:rFonts w:ascii="Times New Roman" w:hAnsi="Times New Roman"/>
          <w:szCs w:val="18"/>
        </w:rPr>
        <w:tab/>
      </w:r>
      <w:r w:rsidRPr="006E13A0">
        <w:rPr>
          <w:rFonts w:ascii="Times New Roman" w:hAnsi="Times New Roman"/>
          <w:szCs w:val="18"/>
        </w:rPr>
        <w:t>S</w:t>
      </w:r>
      <w:r>
        <w:rPr>
          <w:rFonts w:ascii="Times New Roman" w:hAnsi="Times New Roman"/>
          <w:szCs w:val="18"/>
        </w:rPr>
        <w:t>MA</w:t>
      </w:r>
      <w:r w:rsidRPr="006E13A0">
        <w:rPr>
          <w:rFonts w:ascii="Times New Roman" w:hAnsi="Times New Roman"/>
          <w:szCs w:val="18"/>
        </w:rPr>
        <w:t>16 –</w:t>
      </w:r>
      <w:r>
        <w:rPr>
          <w:rFonts w:ascii="Times New Roman" w:hAnsi="Times New Roman"/>
          <w:szCs w:val="18"/>
        </w:rPr>
        <w:t xml:space="preserve"> 160/22</w:t>
      </w:r>
      <w:r w:rsidRPr="006E13A0">
        <w:rPr>
          <w:rFonts w:ascii="Times New Roman" w:hAnsi="Times New Roman"/>
          <w:szCs w:val="18"/>
        </w:rPr>
        <w:t xml:space="preserve">0 </w:t>
      </w:r>
      <w:r>
        <w:rPr>
          <w:rFonts w:ascii="Times New Roman" w:hAnsi="Times New Roman"/>
          <w:szCs w:val="18"/>
        </w:rPr>
        <w:t>SMA surf **</w:t>
      </w:r>
      <w:r w:rsidR="008F1F74">
        <w:rPr>
          <w:rFonts w:ascii="Times New Roman" w:hAnsi="Times New Roman"/>
          <w:szCs w:val="18"/>
        </w:rPr>
        <w:t>*</w:t>
      </w:r>
      <w:r w:rsidR="006E13A0" w:rsidRPr="006E13A0">
        <w:rPr>
          <w:rFonts w:ascii="Times New Roman" w:hAnsi="Times New Roman"/>
          <w:szCs w:val="18"/>
        </w:rPr>
        <w:tab/>
      </w:r>
      <w:r w:rsidR="006E13A0" w:rsidRPr="006E13A0">
        <w:rPr>
          <w:rFonts w:ascii="Times New Roman" w:hAnsi="Times New Roman"/>
          <w:szCs w:val="18"/>
        </w:rPr>
        <w:tab/>
      </w:r>
    </w:p>
    <w:p w14:paraId="0C906574" w14:textId="77777777" w:rsidR="00085E63" w:rsidRPr="006E13A0" w:rsidRDefault="004D2D7F" w:rsidP="006E13A0">
      <w:pPr>
        <w:pStyle w:val="Merknad"/>
        <w:spacing w:after="0"/>
        <w:ind w:left="708" w:hanging="424"/>
        <w:rPr>
          <w:rFonts w:ascii="Times New Roman" w:hAnsi="Times New Roman"/>
          <w:szCs w:val="18"/>
        </w:rPr>
      </w:pPr>
      <w:r w:rsidRPr="006E13A0">
        <w:rPr>
          <w:rFonts w:ascii="Times New Roman" w:hAnsi="Times New Roman"/>
          <w:szCs w:val="18"/>
        </w:rPr>
        <w:tab/>
      </w:r>
      <w:r w:rsidRPr="006E13A0">
        <w:rPr>
          <w:rFonts w:ascii="Times New Roman" w:hAnsi="Times New Roman"/>
          <w:szCs w:val="18"/>
        </w:rPr>
        <w:tab/>
      </w:r>
      <w:r w:rsidRPr="006E13A0">
        <w:rPr>
          <w:rFonts w:ascii="Times New Roman" w:hAnsi="Times New Roman"/>
          <w:szCs w:val="18"/>
        </w:rPr>
        <w:tab/>
      </w:r>
    </w:p>
    <w:p w14:paraId="1A90CE7D" w14:textId="0F75FA1B" w:rsidR="00085E63" w:rsidRDefault="00085E63" w:rsidP="006E13A0">
      <w:pPr>
        <w:pStyle w:val="Merknad"/>
        <w:tabs>
          <w:tab w:val="clear" w:pos="1701"/>
        </w:tabs>
        <w:spacing w:after="0"/>
        <w:ind w:left="0" w:firstLine="1"/>
        <w:rPr>
          <w:rFonts w:ascii="Times New Roman" w:hAnsi="Times New Roman"/>
          <w:szCs w:val="18"/>
        </w:rPr>
      </w:pPr>
      <w:r w:rsidRPr="006E13A0">
        <w:rPr>
          <w:rFonts w:ascii="Times New Roman" w:hAnsi="Times New Roman"/>
          <w:szCs w:val="18"/>
        </w:rPr>
        <w:t>* S</w:t>
      </w:r>
      <w:r w:rsidR="00D3402C">
        <w:rPr>
          <w:rFonts w:ascii="Times New Roman" w:hAnsi="Times New Roman"/>
          <w:szCs w:val="18"/>
        </w:rPr>
        <w:t>tíf</w:t>
      </w:r>
      <w:r w:rsidRPr="006E13A0">
        <w:rPr>
          <w:rFonts w:ascii="Times New Roman" w:hAnsi="Times New Roman"/>
          <w:szCs w:val="18"/>
        </w:rPr>
        <w:t>malbik</w:t>
      </w:r>
      <w:r w:rsidR="00D67C2C">
        <w:rPr>
          <w:rFonts w:ascii="Times New Roman" w:hAnsi="Times New Roman"/>
          <w:szCs w:val="18"/>
        </w:rPr>
        <w:t xml:space="preserve"> í slitlag (e. AC surf)</w:t>
      </w:r>
      <w:r w:rsidRPr="006E13A0">
        <w:rPr>
          <w:rFonts w:ascii="Times New Roman" w:hAnsi="Times New Roman"/>
          <w:szCs w:val="18"/>
        </w:rPr>
        <w:t>, efri flokkunarstærð</w:t>
      </w:r>
      <w:r w:rsidR="006E13A0" w:rsidRPr="006E13A0">
        <w:rPr>
          <w:rFonts w:ascii="Times New Roman" w:hAnsi="Times New Roman"/>
          <w:szCs w:val="18"/>
        </w:rPr>
        <w:t xml:space="preserve"> steinefnis</w:t>
      </w:r>
      <w:r w:rsidR="00373A02">
        <w:rPr>
          <w:rFonts w:ascii="Times New Roman" w:hAnsi="Times New Roman"/>
          <w:szCs w:val="18"/>
        </w:rPr>
        <w:t xml:space="preserve"> 11 mm og bik</w:t>
      </w:r>
      <w:r w:rsidRPr="006E13A0">
        <w:rPr>
          <w:rFonts w:ascii="Times New Roman" w:hAnsi="Times New Roman"/>
          <w:szCs w:val="18"/>
        </w:rPr>
        <w:t xml:space="preserve"> með</w:t>
      </w:r>
      <w:r w:rsidR="006E13A0" w:rsidRPr="006E13A0">
        <w:rPr>
          <w:rFonts w:ascii="Times New Roman" w:hAnsi="Times New Roman"/>
          <w:szCs w:val="18"/>
        </w:rPr>
        <w:t xml:space="preserve"> PG 70/100</w:t>
      </w:r>
    </w:p>
    <w:p w14:paraId="15C3DF4C" w14:textId="58AF29C6" w:rsidR="00D67C2C" w:rsidRDefault="00D67C2C" w:rsidP="00D67C2C">
      <w:pPr>
        <w:pStyle w:val="Merknad"/>
        <w:tabs>
          <w:tab w:val="clear" w:pos="1701"/>
        </w:tabs>
        <w:spacing w:after="0"/>
        <w:ind w:left="0" w:firstLine="1"/>
        <w:rPr>
          <w:rFonts w:ascii="Times New Roman" w:hAnsi="Times New Roman"/>
          <w:szCs w:val="18"/>
        </w:rPr>
      </w:pPr>
      <w:r w:rsidRPr="00D41340">
        <w:rPr>
          <w:rFonts w:ascii="Times New Roman" w:hAnsi="Times New Roman"/>
          <w:szCs w:val="18"/>
        </w:rPr>
        <w:t>** Burðarlagsmalbik</w:t>
      </w:r>
      <w:r>
        <w:rPr>
          <w:rFonts w:ascii="Times New Roman" w:hAnsi="Times New Roman"/>
          <w:szCs w:val="18"/>
        </w:rPr>
        <w:t xml:space="preserve"> (e. AC base)</w:t>
      </w:r>
      <w:r w:rsidRPr="00D41340">
        <w:rPr>
          <w:rFonts w:ascii="Times New Roman" w:hAnsi="Times New Roman"/>
          <w:szCs w:val="18"/>
        </w:rPr>
        <w:t>, efri flokkunarstærð steinefnis 16 mm og bik með stungudýpt PG 1</w:t>
      </w:r>
      <w:r w:rsidR="008F1F74">
        <w:rPr>
          <w:rFonts w:ascii="Times New Roman" w:hAnsi="Times New Roman"/>
          <w:szCs w:val="18"/>
        </w:rPr>
        <w:t>1</w:t>
      </w:r>
      <w:r w:rsidRPr="00D41340">
        <w:rPr>
          <w:rFonts w:ascii="Times New Roman" w:hAnsi="Times New Roman"/>
          <w:szCs w:val="18"/>
        </w:rPr>
        <w:t>0</w:t>
      </w:r>
      <w:r>
        <w:rPr>
          <w:rFonts w:ascii="Times New Roman" w:hAnsi="Times New Roman"/>
          <w:szCs w:val="18"/>
        </w:rPr>
        <w:t>/</w:t>
      </w:r>
      <w:r w:rsidR="008F1F74">
        <w:rPr>
          <w:rFonts w:ascii="Times New Roman" w:hAnsi="Times New Roman"/>
          <w:szCs w:val="18"/>
        </w:rPr>
        <w:t>15</w:t>
      </w:r>
      <w:r w:rsidRPr="00D41340">
        <w:rPr>
          <w:rFonts w:ascii="Times New Roman" w:hAnsi="Times New Roman"/>
          <w:szCs w:val="18"/>
        </w:rPr>
        <w:t>0</w:t>
      </w:r>
    </w:p>
    <w:p w14:paraId="404E3F7E" w14:textId="5317EF32" w:rsidR="00D41340" w:rsidRDefault="00D41340" w:rsidP="006E13A0">
      <w:pPr>
        <w:pStyle w:val="Merknad"/>
        <w:tabs>
          <w:tab w:val="clear" w:pos="1701"/>
        </w:tabs>
        <w:spacing w:after="0"/>
        <w:ind w:left="0" w:firstLine="1"/>
        <w:rPr>
          <w:rFonts w:ascii="Times New Roman" w:hAnsi="Times New Roman"/>
          <w:szCs w:val="18"/>
        </w:rPr>
      </w:pPr>
      <w:r w:rsidRPr="00D41340">
        <w:rPr>
          <w:rFonts w:ascii="Times New Roman" w:hAnsi="Times New Roman"/>
          <w:szCs w:val="18"/>
        </w:rPr>
        <w:t>**</w:t>
      </w:r>
      <w:r w:rsidR="00D67C2C">
        <w:rPr>
          <w:rFonts w:ascii="Times New Roman" w:hAnsi="Times New Roman"/>
          <w:szCs w:val="18"/>
        </w:rPr>
        <w:t>*</w:t>
      </w:r>
      <w:r w:rsidRPr="00D41340">
        <w:rPr>
          <w:rFonts w:ascii="Times New Roman" w:hAnsi="Times New Roman"/>
          <w:szCs w:val="18"/>
        </w:rPr>
        <w:t xml:space="preserve"> Steinríkt malbik</w:t>
      </w:r>
      <w:r w:rsidR="008F1F74">
        <w:rPr>
          <w:rFonts w:ascii="Times New Roman" w:hAnsi="Times New Roman"/>
          <w:szCs w:val="18"/>
        </w:rPr>
        <w:t xml:space="preserve"> (e. SMA surf)</w:t>
      </w:r>
      <w:r w:rsidRPr="00D41340">
        <w:rPr>
          <w:rFonts w:ascii="Times New Roman" w:hAnsi="Times New Roman"/>
          <w:szCs w:val="18"/>
        </w:rPr>
        <w:t>, efri flokkunarstærð steinefnis 16 mm og bik með stungudýpt PG 1</w:t>
      </w:r>
      <w:r w:rsidR="008F1F74">
        <w:rPr>
          <w:rFonts w:ascii="Times New Roman" w:hAnsi="Times New Roman"/>
          <w:szCs w:val="18"/>
        </w:rPr>
        <w:t>6</w:t>
      </w:r>
      <w:r w:rsidRPr="00D41340">
        <w:rPr>
          <w:rFonts w:ascii="Times New Roman" w:hAnsi="Times New Roman"/>
          <w:szCs w:val="18"/>
        </w:rPr>
        <w:t>0</w:t>
      </w:r>
      <w:r w:rsidR="00D67C2C">
        <w:rPr>
          <w:rFonts w:ascii="Times New Roman" w:hAnsi="Times New Roman"/>
          <w:szCs w:val="18"/>
        </w:rPr>
        <w:t>/</w:t>
      </w:r>
      <w:r w:rsidR="008F1F74">
        <w:rPr>
          <w:rFonts w:ascii="Times New Roman" w:hAnsi="Times New Roman"/>
          <w:szCs w:val="18"/>
        </w:rPr>
        <w:t>22</w:t>
      </w:r>
      <w:r w:rsidRPr="00D41340">
        <w:rPr>
          <w:rFonts w:ascii="Times New Roman" w:hAnsi="Times New Roman"/>
          <w:szCs w:val="18"/>
        </w:rPr>
        <w:t>0</w:t>
      </w:r>
    </w:p>
    <w:p w14:paraId="3B285D6F" w14:textId="77777777" w:rsidR="001E7B11" w:rsidRDefault="001E7B11" w:rsidP="00CB4CD3">
      <w:pPr>
        <w:pStyle w:val="Merknad"/>
        <w:spacing w:after="0"/>
        <w:ind w:left="644"/>
        <w:rPr>
          <w:rFonts w:ascii="Times New Roman" w:hAnsi="Times New Roman"/>
          <w:sz w:val="20"/>
        </w:rPr>
      </w:pPr>
    </w:p>
    <w:p w14:paraId="16954E75" w14:textId="075AAAE5" w:rsidR="00A01237" w:rsidRPr="00247F16" w:rsidRDefault="006E13A0" w:rsidP="003D63C1">
      <w:pPr>
        <w:pStyle w:val="Merknad"/>
        <w:tabs>
          <w:tab w:val="clear" w:pos="1701"/>
        </w:tabs>
        <w:spacing w:after="0"/>
        <w:ind w:left="0" w:firstLine="284"/>
        <w:jc w:val="both"/>
        <w:rPr>
          <w:rFonts w:ascii="Times New Roman" w:hAnsi="Times New Roman"/>
          <w:sz w:val="24"/>
          <w:szCs w:val="24"/>
        </w:rPr>
      </w:pPr>
      <w:r>
        <w:rPr>
          <w:rFonts w:ascii="Times New Roman" w:hAnsi="Times New Roman"/>
          <w:sz w:val="24"/>
          <w:szCs w:val="24"/>
        </w:rPr>
        <w:t xml:space="preserve">Auk ofangreindra upplýsinga skal skrá ýmsar aðrar upplýsingar, svo sem gerð fillers og íblöndunarefna, til dæmis viðloðunarefna, trefja eða fjölliða. </w:t>
      </w:r>
      <w:r w:rsidR="00247F16">
        <w:rPr>
          <w:rFonts w:ascii="Times New Roman" w:hAnsi="Times New Roman"/>
          <w:sz w:val="24"/>
          <w:szCs w:val="24"/>
        </w:rPr>
        <w:t>Nánari upplýsingar um það sem nauðsynlega þarf að skrá við gerðarprófun er að finna í kafla 7 í ÍST EN 13108-</w:t>
      </w:r>
      <w:r w:rsidR="00247F16" w:rsidRPr="00247F16">
        <w:rPr>
          <w:rFonts w:ascii="Times New Roman" w:hAnsi="Times New Roman"/>
          <w:sz w:val="24"/>
          <w:szCs w:val="24"/>
        </w:rPr>
        <w:t>2</w:t>
      </w:r>
      <w:r w:rsidR="00247F16">
        <w:rPr>
          <w:rFonts w:ascii="Times New Roman" w:hAnsi="Times New Roman"/>
          <w:sz w:val="24"/>
          <w:szCs w:val="24"/>
        </w:rPr>
        <w:t>0</w:t>
      </w:r>
      <w:r w:rsidR="008F1F74">
        <w:rPr>
          <w:rFonts w:ascii="Times New Roman" w:hAnsi="Times New Roman"/>
          <w:sz w:val="24"/>
          <w:szCs w:val="24"/>
        </w:rPr>
        <w:t>:</w:t>
      </w:r>
      <w:r w:rsidR="00247F16">
        <w:rPr>
          <w:rFonts w:ascii="Times New Roman" w:hAnsi="Times New Roman"/>
          <w:sz w:val="24"/>
          <w:szCs w:val="24"/>
        </w:rPr>
        <w:t xml:space="preserve"> Bituminous mixtures-Material specifications-Part 20: Type testing</w:t>
      </w:r>
      <w:r>
        <w:rPr>
          <w:rFonts w:ascii="Times New Roman" w:hAnsi="Times New Roman"/>
          <w:sz w:val="24"/>
          <w:szCs w:val="24"/>
        </w:rPr>
        <w:t>.</w:t>
      </w:r>
      <w:r w:rsidR="00247F16" w:rsidRPr="00247F16">
        <w:rPr>
          <w:rFonts w:ascii="Times New Roman" w:hAnsi="Times New Roman"/>
          <w:sz w:val="24"/>
          <w:szCs w:val="24"/>
        </w:rPr>
        <w:t xml:space="preserve"> </w:t>
      </w:r>
    </w:p>
    <w:p w14:paraId="78EF9DE4" w14:textId="77777777" w:rsidR="000A30FF" w:rsidRDefault="000A30FF" w:rsidP="00CB4CD3">
      <w:pPr>
        <w:pStyle w:val="Heading3"/>
      </w:pPr>
      <w:bookmarkStart w:id="27" w:name="_Toc52971443"/>
      <w:r w:rsidRPr="00220C65">
        <w:lastRenderedPageBreak/>
        <w:t>Önnur ákvæði</w:t>
      </w:r>
      <w:bookmarkEnd w:id="27"/>
    </w:p>
    <w:p w14:paraId="1BC3B72D" w14:textId="0B8A99FB" w:rsidR="00D5459E" w:rsidRPr="00D5459E" w:rsidRDefault="004652D1" w:rsidP="00D5459E">
      <w:r>
        <w:t>S</w:t>
      </w:r>
      <w:r w:rsidR="00D5459E">
        <w:t>ettar</w:t>
      </w:r>
      <w:r>
        <w:t xml:space="preserve"> eru</w:t>
      </w:r>
      <w:r w:rsidR="00D5459E">
        <w:t xml:space="preserve"> fram íslenskar kröfur um slit- og skriðeiginleika malbiks, auk vatnsnæmis vegna gerðarprófana í kafla 64.5, þar sem kröfur taka mið af umferðarmagni.</w:t>
      </w:r>
    </w:p>
    <w:p w14:paraId="7F30DD9C" w14:textId="674EB217" w:rsidR="0008528B" w:rsidRPr="00226998" w:rsidRDefault="00CD05DF" w:rsidP="0008528B">
      <w:pPr>
        <w:pStyle w:val="Heading2"/>
      </w:pPr>
      <w:bookmarkStart w:id="28" w:name="_Toc52971444"/>
      <w:r>
        <w:t>Eftirlit með f</w:t>
      </w:r>
      <w:r w:rsidR="000A30FF">
        <w:t>ramleiðslu</w:t>
      </w:r>
      <w:r>
        <w:t xml:space="preserve"> malbiks</w:t>
      </w:r>
      <w:bookmarkEnd w:id="28"/>
    </w:p>
    <w:p w14:paraId="10B2A72E" w14:textId="68781F65" w:rsidR="0008528B" w:rsidRPr="00D41340" w:rsidRDefault="0008528B" w:rsidP="000B1996">
      <w:pPr>
        <w:pStyle w:val="BodyText"/>
        <w:ind w:firstLine="284"/>
        <w:jc w:val="both"/>
        <w:rPr>
          <w:b w:val="0"/>
        </w:rPr>
      </w:pPr>
      <w:r w:rsidRPr="00226998">
        <w:rPr>
          <w:b w:val="0"/>
        </w:rPr>
        <w:t>Við framleiðslu malbiks skal viðhafa framleiðslueftirlit (</w:t>
      </w:r>
      <w:r w:rsidR="00C21720">
        <w:rPr>
          <w:b w:val="0"/>
        </w:rPr>
        <w:t xml:space="preserve">e. </w:t>
      </w:r>
      <w:r w:rsidRPr="00226998">
        <w:rPr>
          <w:b w:val="0"/>
        </w:rPr>
        <w:t>FPC) í samræmi við ÍST EN 13108-21</w:t>
      </w:r>
      <w:r w:rsidR="00C21720">
        <w:rPr>
          <w:b w:val="0"/>
        </w:rPr>
        <w:t xml:space="preserve"> og fylgistaðal ÍST 75</w:t>
      </w:r>
      <w:r w:rsidRPr="00226998">
        <w:rPr>
          <w:b w:val="0"/>
        </w:rPr>
        <w:t>. Prófanir og mælingar á malbiki við framleiðslu skulu að lágmarki vera sáldurferill</w:t>
      </w:r>
      <w:r w:rsidR="003506EE">
        <w:rPr>
          <w:b w:val="0"/>
        </w:rPr>
        <w:t>,</w:t>
      </w:r>
      <w:r w:rsidRPr="00226998">
        <w:rPr>
          <w:b w:val="0"/>
        </w:rPr>
        <w:t xml:space="preserve"> bindiefnisinnihald, </w:t>
      </w:r>
      <w:r w:rsidR="003506EE">
        <w:rPr>
          <w:b w:val="0"/>
        </w:rPr>
        <w:t>holrýmd, bikf</w:t>
      </w:r>
      <w:r w:rsidR="00265F1B">
        <w:rPr>
          <w:b w:val="0"/>
        </w:rPr>
        <w:t>yllt holrýmd og hitastig blöndu</w:t>
      </w:r>
      <w:r w:rsidR="004B3638">
        <w:rPr>
          <w:b w:val="0"/>
        </w:rPr>
        <w:t xml:space="preserve">, sbr. </w:t>
      </w:r>
      <w:r w:rsidR="00AA60CF">
        <w:rPr>
          <w:b w:val="0"/>
        </w:rPr>
        <w:t>t</w:t>
      </w:r>
      <w:r w:rsidR="004B3638">
        <w:rPr>
          <w:b w:val="0"/>
        </w:rPr>
        <w:t>öflu 3.2 hér að neðan,</w:t>
      </w:r>
      <w:r w:rsidRPr="00226998">
        <w:rPr>
          <w:b w:val="0"/>
        </w:rPr>
        <w:t xml:space="preserve"> með þeirri tíðni sem tilgreind er í</w:t>
      </w:r>
      <w:r w:rsidR="003506EE">
        <w:rPr>
          <w:b w:val="0"/>
        </w:rPr>
        <w:t xml:space="preserve"> </w:t>
      </w:r>
      <w:r w:rsidRPr="00226998">
        <w:rPr>
          <w:b w:val="0"/>
        </w:rPr>
        <w:t>viðauka A</w:t>
      </w:r>
      <w:r w:rsidR="00265F1B">
        <w:rPr>
          <w:b w:val="0"/>
        </w:rPr>
        <w:t xml:space="preserve"> </w:t>
      </w:r>
      <w:r w:rsidR="00D41340" w:rsidRPr="00D41340">
        <w:rPr>
          <w:b w:val="0"/>
        </w:rPr>
        <w:t>(</w:t>
      </w:r>
      <w:r w:rsidR="00A678AE">
        <w:rPr>
          <w:b w:val="0"/>
        </w:rPr>
        <w:t xml:space="preserve">e. </w:t>
      </w:r>
      <w:r w:rsidR="00265F1B" w:rsidRPr="00D41340">
        <w:rPr>
          <w:b w:val="0"/>
        </w:rPr>
        <w:t>Tolerances and test frequencies for finished asphalt</w:t>
      </w:r>
      <w:r w:rsidR="00D41340" w:rsidRPr="00165E10">
        <w:rPr>
          <w:b w:val="0"/>
        </w:rPr>
        <w:t>)</w:t>
      </w:r>
      <w:r w:rsidRPr="00165E10">
        <w:rPr>
          <w:b w:val="0"/>
        </w:rPr>
        <w:t xml:space="preserve"> í </w:t>
      </w:r>
      <w:r w:rsidR="00265F1B" w:rsidRPr="00165E10">
        <w:rPr>
          <w:b w:val="0"/>
        </w:rPr>
        <w:t>ÍST EN 13108-21</w:t>
      </w:r>
      <w:r w:rsidRPr="00165E10">
        <w:rPr>
          <w:b w:val="0"/>
        </w:rPr>
        <w:t>.</w:t>
      </w:r>
      <w:r w:rsidR="00D41340" w:rsidRPr="00165E10">
        <w:rPr>
          <w:b w:val="0"/>
        </w:rPr>
        <w:t xml:space="preserve"> </w:t>
      </w:r>
      <w:r w:rsidR="00D41340" w:rsidRPr="00D41340">
        <w:rPr>
          <w:b w:val="0"/>
        </w:rPr>
        <w:t xml:space="preserve">Auk þess skal hafa eftirlit með hráefnum sem notuð eru í malbikið, svo og </w:t>
      </w:r>
      <w:r w:rsidR="00AA60CF">
        <w:rPr>
          <w:b w:val="0"/>
        </w:rPr>
        <w:t>með</w:t>
      </w:r>
      <w:r w:rsidR="00D41340" w:rsidRPr="00D41340">
        <w:rPr>
          <w:b w:val="0"/>
        </w:rPr>
        <w:t xml:space="preserve"> </w:t>
      </w:r>
      <w:r w:rsidR="00DD2CED">
        <w:rPr>
          <w:b w:val="0"/>
        </w:rPr>
        <w:t>malbiksblöndunni</w:t>
      </w:r>
      <w:r w:rsidR="00D41340" w:rsidRPr="00D41340">
        <w:rPr>
          <w:b w:val="0"/>
        </w:rPr>
        <w:t>, samkvæmt því sem talið er upp í töflum 3 til 8 í grein 6 í ÍST EN 13108-21.</w:t>
      </w:r>
    </w:p>
    <w:p w14:paraId="30C44CC7" w14:textId="7B1337B8" w:rsidR="0008528B" w:rsidRPr="00473BDF" w:rsidRDefault="0008528B" w:rsidP="008854B5">
      <w:pPr>
        <w:pStyle w:val="BodyText"/>
        <w:spacing w:before="0"/>
        <w:ind w:firstLine="284"/>
        <w:jc w:val="both"/>
        <w:rPr>
          <w:b w:val="0"/>
        </w:rPr>
      </w:pPr>
      <w:r w:rsidRPr="00CD7E35">
        <w:rPr>
          <w:b w:val="0"/>
        </w:rPr>
        <w:t xml:space="preserve">Í </w:t>
      </w:r>
      <w:r w:rsidR="000D7ACD">
        <w:rPr>
          <w:b w:val="0"/>
        </w:rPr>
        <w:t>kafla 64</w:t>
      </w:r>
      <w:r w:rsidR="00085E63">
        <w:rPr>
          <w:b w:val="0"/>
        </w:rPr>
        <w:t>.5.</w:t>
      </w:r>
      <w:r w:rsidR="00983A1E">
        <w:rPr>
          <w:b w:val="0"/>
        </w:rPr>
        <w:t>3</w:t>
      </w:r>
      <w:r w:rsidR="000D7ACD">
        <w:rPr>
          <w:b w:val="0"/>
        </w:rPr>
        <w:t xml:space="preserve"> í</w:t>
      </w:r>
      <w:r w:rsidR="00441A63">
        <w:rPr>
          <w:b w:val="0"/>
        </w:rPr>
        <w:t xml:space="preserve"> töflu 64-6 í</w:t>
      </w:r>
      <w:r w:rsidR="000D7ACD">
        <w:rPr>
          <w:b w:val="0"/>
        </w:rPr>
        <w:t xml:space="preserve"> </w:t>
      </w:r>
      <w:r w:rsidR="003D63C1">
        <w:rPr>
          <w:b w:val="0"/>
        </w:rPr>
        <w:t>Efnisgæðaritinu</w:t>
      </w:r>
      <w:r w:rsidR="000D7ACD">
        <w:rPr>
          <w:b w:val="0"/>
        </w:rPr>
        <w:t xml:space="preserve"> </w:t>
      </w:r>
      <w:r w:rsidRPr="00CD7E35">
        <w:rPr>
          <w:b w:val="0"/>
        </w:rPr>
        <w:t>eru</w:t>
      </w:r>
      <w:r w:rsidR="001533EF">
        <w:rPr>
          <w:b w:val="0"/>
        </w:rPr>
        <w:t xml:space="preserve"> settar fram nánari leiðbeiningar um framleiðslueftirlit </w:t>
      </w:r>
      <w:r w:rsidR="00AA60CF">
        <w:rPr>
          <w:b w:val="0"/>
        </w:rPr>
        <w:t>með</w:t>
      </w:r>
      <w:r w:rsidR="001533EF">
        <w:rPr>
          <w:b w:val="0"/>
        </w:rPr>
        <w:t xml:space="preserve"> malbiki</w:t>
      </w:r>
      <w:r w:rsidR="00441A63">
        <w:rPr>
          <w:b w:val="0"/>
        </w:rPr>
        <w:t xml:space="preserve"> þegar verkkaupi telur ástæðu til að setja fram auknar kröfur um tíðni prófana við framleiðslu</w:t>
      </w:r>
      <w:r w:rsidR="001533EF">
        <w:rPr>
          <w:b w:val="0"/>
        </w:rPr>
        <w:t>.</w:t>
      </w:r>
      <w:r w:rsidR="00473BDF" w:rsidRPr="00473BDF">
        <w:rPr>
          <w:b w:val="0"/>
        </w:rPr>
        <w:t xml:space="preserve"> Lágmarkstíðni prófana við eftirlit með framleiðslu malbiks skal ákvarða með tilliti til viðauka A í staðli ÍST EN 1310</w:t>
      </w:r>
      <w:r w:rsidR="00F50D1A">
        <w:rPr>
          <w:b w:val="0"/>
        </w:rPr>
        <w:t>8-21. Tíðnin getur verið breyti</w:t>
      </w:r>
      <w:r w:rsidR="00473BDF" w:rsidRPr="00473BDF">
        <w:rPr>
          <w:b w:val="0"/>
        </w:rPr>
        <w:t>leg eftir því hvort þolmörk eru uppfyllt hverju sinni</w:t>
      </w:r>
      <w:r w:rsidR="00983A1E">
        <w:rPr>
          <w:b w:val="0"/>
        </w:rPr>
        <w:t xml:space="preserve"> </w:t>
      </w:r>
      <w:r w:rsidR="00983A1E" w:rsidRPr="00473BDF">
        <w:rPr>
          <w:b w:val="0"/>
        </w:rPr>
        <w:t>(</w:t>
      </w:r>
      <w:r w:rsidR="00983A1E">
        <w:rPr>
          <w:b w:val="0"/>
        </w:rPr>
        <w:t xml:space="preserve">e. </w:t>
      </w:r>
      <w:r w:rsidR="00983A1E" w:rsidRPr="00473BDF">
        <w:rPr>
          <w:b w:val="0"/>
        </w:rPr>
        <w:t>Operating Com</w:t>
      </w:r>
      <w:r w:rsidR="00CD5145">
        <w:rPr>
          <w:b w:val="0"/>
        </w:rPr>
        <w:t>p</w:t>
      </w:r>
      <w:r w:rsidR="00983A1E" w:rsidRPr="00473BDF">
        <w:rPr>
          <w:b w:val="0"/>
        </w:rPr>
        <w:t>liance Level, OCL)</w:t>
      </w:r>
      <w:r w:rsidR="00473BDF" w:rsidRPr="00473BDF">
        <w:rPr>
          <w:b w:val="0"/>
        </w:rPr>
        <w:t xml:space="preserve">. Samkvæmt staðlinum skal lágmarkstíðni prófana vera eitt próf (sáldurferill, bindiefnisinnihald, holrýmd, bikfyllt holrýmd og hitastig) fyrir hver 2000 framleidd tonn ef niðurstöður eru innan þolmarka, þó ekki sjaldnar en einu sinni </w:t>
      </w:r>
      <w:r w:rsidR="00983A1E">
        <w:rPr>
          <w:b w:val="0"/>
        </w:rPr>
        <w:t>fyrir hverja fimm framleiðsludaga</w:t>
      </w:r>
      <w:r w:rsidR="00473BDF" w:rsidRPr="00473BDF">
        <w:rPr>
          <w:b w:val="0"/>
        </w:rPr>
        <w:t>.</w:t>
      </w:r>
    </w:p>
    <w:p w14:paraId="75C2498D" w14:textId="77777777" w:rsidR="0008528B" w:rsidRDefault="0008528B" w:rsidP="0008528B">
      <w:pPr>
        <w:pStyle w:val="BodyText"/>
        <w:rPr>
          <w:bCs w:val="0"/>
        </w:rPr>
      </w:pPr>
    </w:p>
    <w:p w14:paraId="398CAF91" w14:textId="598E7142" w:rsidR="000D7ACD" w:rsidRPr="00B94BA5" w:rsidRDefault="000D7ACD" w:rsidP="005306D2">
      <w:pPr>
        <w:pStyle w:val="Title"/>
        <w:spacing w:after="240"/>
        <w:jc w:val="left"/>
        <w:rPr>
          <w:b w:val="0"/>
          <w:bCs w:val="0"/>
          <w:sz w:val="20"/>
        </w:rPr>
      </w:pPr>
      <w:r w:rsidRPr="00B94BA5">
        <w:t>Tafla 3.</w:t>
      </w:r>
      <w:r w:rsidR="00D67471">
        <w:t>2</w:t>
      </w:r>
      <w:r w:rsidR="008854B5">
        <w:t>:</w:t>
      </w:r>
      <w:r w:rsidRPr="00B94BA5">
        <w:t xml:space="preserve"> </w:t>
      </w:r>
      <w:r w:rsidRPr="00B94BA5">
        <w:rPr>
          <w:b w:val="0"/>
        </w:rPr>
        <w:t>Eiginleikar malbiks sem skylt er að staðfesta hérlendis við</w:t>
      </w:r>
      <w:r w:rsidR="00E85BE0">
        <w:rPr>
          <w:b w:val="0"/>
        </w:rPr>
        <w:t>framleiðslu</w:t>
      </w:r>
      <w:r>
        <w:rPr>
          <w:b w:val="0"/>
        </w:rPr>
        <w:t>eftirlit</w:t>
      </w:r>
      <w:r w:rsidR="00E85BE0">
        <w:rPr>
          <w:b w:val="0"/>
        </w:rPr>
        <w:t xml:space="preserve"> </w:t>
      </w:r>
    </w:p>
    <w:tbl>
      <w:tblPr>
        <w:tblW w:w="8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8"/>
        <w:gridCol w:w="1843"/>
        <w:gridCol w:w="4125"/>
      </w:tblGrid>
      <w:tr w:rsidR="00165E10" w:rsidRPr="00B94BA5" w14:paraId="1B30FBE9" w14:textId="77777777" w:rsidTr="00F52AF8">
        <w:trPr>
          <w:trHeight w:val="562"/>
          <w:jc w:val="center"/>
        </w:trPr>
        <w:tc>
          <w:tcPr>
            <w:tcW w:w="2198" w:type="dxa"/>
            <w:shd w:val="clear" w:color="auto" w:fill="DAEEF3" w:themeFill="accent5" w:themeFillTint="33"/>
          </w:tcPr>
          <w:p w14:paraId="65382591" w14:textId="77777777" w:rsidR="00165E10" w:rsidRPr="00B94BA5" w:rsidRDefault="00165E10" w:rsidP="00165E10">
            <w:pPr>
              <w:jc w:val="center"/>
              <w:rPr>
                <w:b/>
                <w:bCs/>
              </w:rPr>
            </w:pPr>
            <w:r>
              <w:rPr>
                <w:b/>
                <w:bCs/>
              </w:rPr>
              <w:t>Grein</w:t>
            </w:r>
            <w:r w:rsidRPr="00B94BA5">
              <w:rPr>
                <w:b/>
                <w:bCs/>
              </w:rPr>
              <w:t xml:space="preserve"> í ÍST EN 13108-1</w:t>
            </w:r>
          </w:p>
        </w:tc>
        <w:tc>
          <w:tcPr>
            <w:tcW w:w="1843" w:type="dxa"/>
            <w:shd w:val="clear" w:color="auto" w:fill="DAEEF3" w:themeFill="accent5" w:themeFillTint="33"/>
          </w:tcPr>
          <w:p w14:paraId="360607FD" w14:textId="77777777" w:rsidR="00165E10" w:rsidRPr="00B94BA5" w:rsidRDefault="00165E10" w:rsidP="006D259E">
            <w:pPr>
              <w:jc w:val="center"/>
              <w:rPr>
                <w:b/>
                <w:bCs/>
              </w:rPr>
            </w:pPr>
            <w:r>
              <w:rPr>
                <w:b/>
                <w:bCs/>
              </w:rPr>
              <w:t>Grein</w:t>
            </w:r>
            <w:r w:rsidRPr="00B94BA5">
              <w:rPr>
                <w:b/>
                <w:bCs/>
              </w:rPr>
              <w:t xml:space="preserve"> í ÍST EN 13108-</w:t>
            </w:r>
            <w:r>
              <w:rPr>
                <w:b/>
                <w:bCs/>
              </w:rPr>
              <w:t>5</w:t>
            </w:r>
          </w:p>
        </w:tc>
        <w:tc>
          <w:tcPr>
            <w:tcW w:w="4125" w:type="dxa"/>
            <w:shd w:val="clear" w:color="auto" w:fill="DAEEF3" w:themeFill="accent5" w:themeFillTint="33"/>
          </w:tcPr>
          <w:p w14:paraId="206D465C" w14:textId="77777777" w:rsidR="00165E10" w:rsidRPr="00B94BA5" w:rsidRDefault="00165E10" w:rsidP="006D259E">
            <w:pPr>
              <w:jc w:val="center"/>
              <w:rPr>
                <w:b/>
                <w:bCs/>
              </w:rPr>
            </w:pPr>
            <w:r w:rsidRPr="00B94BA5">
              <w:rPr>
                <w:b/>
                <w:bCs/>
              </w:rPr>
              <w:t>Eiginleiki</w:t>
            </w:r>
          </w:p>
        </w:tc>
      </w:tr>
      <w:tr w:rsidR="00165E10" w:rsidRPr="00B94BA5" w14:paraId="4225973C" w14:textId="77777777" w:rsidTr="00F52AF8">
        <w:trPr>
          <w:jc w:val="center"/>
        </w:trPr>
        <w:tc>
          <w:tcPr>
            <w:tcW w:w="2198" w:type="dxa"/>
            <w:shd w:val="clear" w:color="auto" w:fill="FDE9D9" w:themeFill="accent6" w:themeFillTint="33"/>
          </w:tcPr>
          <w:p w14:paraId="413CCDDF" w14:textId="489BE9C3" w:rsidR="00165E10" w:rsidRPr="00B94BA5" w:rsidRDefault="00165E10" w:rsidP="00165E10">
            <w:pPr>
              <w:jc w:val="center"/>
            </w:pPr>
            <w:r w:rsidRPr="00B94BA5">
              <w:t>5.2.2</w:t>
            </w:r>
          </w:p>
        </w:tc>
        <w:tc>
          <w:tcPr>
            <w:tcW w:w="1843" w:type="dxa"/>
            <w:shd w:val="clear" w:color="auto" w:fill="FDE9D9" w:themeFill="accent6" w:themeFillTint="33"/>
          </w:tcPr>
          <w:p w14:paraId="54B2AEA4" w14:textId="77777777" w:rsidR="00165E10" w:rsidRPr="00B94BA5" w:rsidRDefault="00165E10" w:rsidP="00165E10">
            <w:pPr>
              <w:jc w:val="center"/>
            </w:pPr>
            <w:r>
              <w:t>5.2.2.</w:t>
            </w:r>
          </w:p>
        </w:tc>
        <w:tc>
          <w:tcPr>
            <w:tcW w:w="4125" w:type="dxa"/>
            <w:shd w:val="clear" w:color="auto" w:fill="FDE9D9" w:themeFill="accent6" w:themeFillTint="33"/>
          </w:tcPr>
          <w:p w14:paraId="65E2A01E" w14:textId="77777777" w:rsidR="00165E10" w:rsidRPr="00B94BA5" w:rsidRDefault="00DD2CED" w:rsidP="006D259E">
            <w:r>
              <w:t>Kornadreifing</w:t>
            </w:r>
          </w:p>
        </w:tc>
      </w:tr>
      <w:tr w:rsidR="00165E10" w:rsidRPr="00B94BA5" w14:paraId="6C56532D" w14:textId="77777777" w:rsidTr="00F52AF8">
        <w:trPr>
          <w:jc w:val="center"/>
        </w:trPr>
        <w:tc>
          <w:tcPr>
            <w:tcW w:w="2198" w:type="dxa"/>
            <w:shd w:val="clear" w:color="auto" w:fill="FDE9D9" w:themeFill="accent6" w:themeFillTint="33"/>
          </w:tcPr>
          <w:p w14:paraId="3727A7B2" w14:textId="3C4DE05A" w:rsidR="00165E10" w:rsidRPr="00B94BA5" w:rsidRDefault="00165E10" w:rsidP="00165E10">
            <w:pPr>
              <w:jc w:val="center"/>
              <w:rPr>
                <w:b/>
                <w:bCs/>
              </w:rPr>
            </w:pPr>
            <w:r w:rsidRPr="00B94BA5">
              <w:t>5.</w:t>
            </w:r>
            <w:r w:rsidR="002D74F4">
              <w:t>3</w:t>
            </w:r>
            <w:r w:rsidRPr="00B94BA5">
              <w:t>.2</w:t>
            </w:r>
          </w:p>
        </w:tc>
        <w:tc>
          <w:tcPr>
            <w:tcW w:w="1843" w:type="dxa"/>
            <w:shd w:val="clear" w:color="auto" w:fill="FDE9D9" w:themeFill="accent6" w:themeFillTint="33"/>
          </w:tcPr>
          <w:p w14:paraId="07593BC6" w14:textId="12A49E56" w:rsidR="00165E10" w:rsidRPr="00B94BA5" w:rsidRDefault="00165E10" w:rsidP="00165E10">
            <w:pPr>
              <w:jc w:val="center"/>
            </w:pPr>
            <w:r>
              <w:t>5.</w:t>
            </w:r>
            <w:r w:rsidR="002D74F4">
              <w:t>3.2</w:t>
            </w:r>
          </w:p>
        </w:tc>
        <w:tc>
          <w:tcPr>
            <w:tcW w:w="4125" w:type="dxa"/>
            <w:shd w:val="clear" w:color="auto" w:fill="FDE9D9" w:themeFill="accent6" w:themeFillTint="33"/>
          </w:tcPr>
          <w:p w14:paraId="0556C1D2" w14:textId="07D9818D" w:rsidR="00165E10" w:rsidRPr="00B94BA5" w:rsidRDefault="00165E10" w:rsidP="006B5357">
            <w:pPr>
              <w:rPr>
                <w:b/>
                <w:bCs/>
              </w:rPr>
            </w:pPr>
            <w:r w:rsidRPr="00B94BA5">
              <w:t>Holrýmd</w:t>
            </w:r>
            <w:r w:rsidRPr="00B94BA5">
              <w:rPr>
                <w:vertAlign w:val="superscript"/>
              </w:rPr>
              <w:t>1)</w:t>
            </w:r>
          </w:p>
        </w:tc>
      </w:tr>
      <w:tr w:rsidR="00165E10" w:rsidRPr="00B94BA5" w14:paraId="2C27ECE5" w14:textId="77777777" w:rsidTr="00F52AF8">
        <w:trPr>
          <w:jc w:val="center"/>
        </w:trPr>
        <w:tc>
          <w:tcPr>
            <w:tcW w:w="2198" w:type="dxa"/>
            <w:shd w:val="clear" w:color="auto" w:fill="FDE9D9" w:themeFill="accent6" w:themeFillTint="33"/>
          </w:tcPr>
          <w:p w14:paraId="46C1E6E6" w14:textId="505B0137" w:rsidR="00165E10" w:rsidRPr="00B94BA5" w:rsidRDefault="00165E10" w:rsidP="002D74F4">
            <w:pPr>
              <w:jc w:val="center"/>
            </w:pPr>
            <w:r w:rsidRPr="00B94BA5">
              <w:t>5.</w:t>
            </w:r>
            <w:r w:rsidR="002D74F4">
              <w:t>4</w:t>
            </w:r>
          </w:p>
        </w:tc>
        <w:tc>
          <w:tcPr>
            <w:tcW w:w="1843" w:type="dxa"/>
            <w:shd w:val="clear" w:color="auto" w:fill="FDE9D9" w:themeFill="accent6" w:themeFillTint="33"/>
          </w:tcPr>
          <w:p w14:paraId="17C3E1A5" w14:textId="17A1A2C9" w:rsidR="00165E10" w:rsidRPr="00B94BA5" w:rsidRDefault="00165E10" w:rsidP="00165E10">
            <w:pPr>
              <w:jc w:val="center"/>
            </w:pPr>
            <w:r>
              <w:t>5.</w:t>
            </w:r>
            <w:r w:rsidR="002D74F4">
              <w:t>4</w:t>
            </w:r>
          </w:p>
        </w:tc>
        <w:tc>
          <w:tcPr>
            <w:tcW w:w="4125" w:type="dxa"/>
            <w:shd w:val="clear" w:color="auto" w:fill="FDE9D9" w:themeFill="accent6" w:themeFillTint="33"/>
          </w:tcPr>
          <w:p w14:paraId="50B4337C" w14:textId="77777777" w:rsidR="00165E10" w:rsidRPr="00B94BA5" w:rsidRDefault="00165E10" w:rsidP="006D259E">
            <w:r w:rsidRPr="00B94BA5">
              <w:t>Hitastig blöndu</w:t>
            </w:r>
          </w:p>
        </w:tc>
      </w:tr>
      <w:tr w:rsidR="00165E10" w:rsidRPr="00B94BA5" w14:paraId="1B5D6DBF" w14:textId="77777777" w:rsidTr="00F52AF8">
        <w:trPr>
          <w:jc w:val="center"/>
        </w:trPr>
        <w:tc>
          <w:tcPr>
            <w:tcW w:w="2198" w:type="dxa"/>
            <w:shd w:val="clear" w:color="auto" w:fill="FDE9D9" w:themeFill="accent6" w:themeFillTint="33"/>
          </w:tcPr>
          <w:p w14:paraId="12B7E6A9" w14:textId="2EEEB75C" w:rsidR="00165E10" w:rsidRPr="00B94BA5" w:rsidRDefault="00165E10" w:rsidP="00165E10">
            <w:pPr>
              <w:jc w:val="center"/>
            </w:pPr>
            <w:r w:rsidRPr="00B94BA5">
              <w:t>5.</w:t>
            </w:r>
            <w:r w:rsidR="002D74F4">
              <w:t>2.3</w:t>
            </w:r>
          </w:p>
        </w:tc>
        <w:tc>
          <w:tcPr>
            <w:tcW w:w="1843" w:type="dxa"/>
            <w:shd w:val="clear" w:color="auto" w:fill="FDE9D9" w:themeFill="accent6" w:themeFillTint="33"/>
          </w:tcPr>
          <w:p w14:paraId="3418903A" w14:textId="2063B030" w:rsidR="00165E10" w:rsidRPr="00B94BA5" w:rsidRDefault="00165E10" w:rsidP="00165E10">
            <w:pPr>
              <w:jc w:val="center"/>
            </w:pPr>
            <w:r>
              <w:t>5.3</w:t>
            </w:r>
            <w:r w:rsidR="002D74F4">
              <w:t>.2</w:t>
            </w:r>
          </w:p>
        </w:tc>
        <w:tc>
          <w:tcPr>
            <w:tcW w:w="4125" w:type="dxa"/>
            <w:shd w:val="clear" w:color="auto" w:fill="FDE9D9" w:themeFill="accent6" w:themeFillTint="33"/>
          </w:tcPr>
          <w:p w14:paraId="2D61C8B4" w14:textId="77777777" w:rsidR="00165E10" w:rsidRPr="00B94BA5" w:rsidRDefault="00165E10" w:rsidP="006D259E">
            <w:r w:rsidRPr="00B94BA5">
              <w:t>Bindiefnisinnihald</w:t>
            </w:r>
          </w:p>
        </w:tc>
      </w:tr>
      <w:tr w:rsidR="00165E10" w:rsidRPr="00B94BA5" w14:paraId="78033872" w14:textId="77777777" w:rsidTr="00F52AF8">
        <w:trPr>
          <w:jc w:val="center"/>
        </w:trPr>
        <w:tc>
          <w:tcPr>
            <w:tcW w:w="2198" w:type="dxa"/>
            <w:shd w:val="clear" w:color="auto" w:fill="FDE9D9" w:themeFill="accent6" w:themeFillTint="33"/>
          </w:tcPr>
          <w:p w14:paraId="6A47EF62" w14:textId="2B6AECD1" w:rsidR="00165E10" w:rsidRPr="00B94BA5" w:rsidRDefault="00165E10" w:rsidP="00165E10">
            <w:pPr>
              <w:jc w:val="center"/>
            </w:pPr>
            <w:r w:rsidRPr="00B94BA5">
              <w:t>5.3.</w:t>
            </w:r>
            <w:r w:rsidR="002D74F4">
              <w:t>2</w:t>
            </w:r>
          </w:p>
        </w:tc>
        <w:tc>
          <w:tcPr>
            <w:tcW w:w="1843" w:type="dxa"/>
            <w:shd w:val="clear" w:color="auto" w:fill="FDE9D9" w:themeFill="accent6" w:themeFillTint="33"/>
          </w:tcPr>
          <w:p w14:paraId="64B768E0" w14:textId="400BDD6D" w:rsidR="00165E10" w:rsidRPr="00B94BA5" w:rsidRDefault="00165E10" w:rsidP="00165E10">
            <w:pPr>
              <w:jc w:val="center"/>
            </w:pPr>
            <w:r>
              <w:t>5.</w:t>
            </w:r>
            <w:r w:rsidR="002D74F4">
              <w:t>3.2</w:t>
            </w:r>
          </w:p>
        </w:tc>
        <w:tc>
          <w:tcPr>
            <w:tcW w:w="4125" w:type="dxa"/>
            <w:shd w:val="clear" w:color="auto" w:fill="FDE9D9" w:themeFill="accent6" w:themeFillTint="33"/>
          </w:tcPr>
          <w:p w14:paraId="6B3F5741" w14:textId="77777777" w:rsidR="00165E10" w:rsidRPr="00B94BA5" w:rsidRDefault="00165E10" w:rsidP="006D259E">
            <w:r w:rsidRPr="00B94BA5">
              <w:t>Bikfyllt holrýmd</w:t>
            </w:r>
            <w:r w:rsidRPr="00B94BA5">
              <w:rPr>
                <w:vertAlign w:val="superscript"/>
              </w:rPr>
              <w:t>1)</w:t>
            </w:r>
          </w:p>
        </w:tc>
      </w:tr>
      <w:tr w:rsidR="00165E10" w:rsidRPr="00B94BA5" w14:paraId="50933303" w14:textId="77777777" w:rsidTr="00F52AF8">
        <w:trPr>
          <w:jc w:val="center"/>
        </w:trPr>
        <w:tc>
          <w:tcPr>
            <w:tcW w:w="2198" w:type="dxa"/>
            <w:shd w:val="clear" w:color="auto" w:fill="FDE9D9" w:themeFill="accent6" w:themeFillTint="33"/>
          </w:tcPr>
          <w:p w14:paraId="2E99538B" w14:textId="711037E2" w:rsidR="00165E10" w:rsidRPr="00B94BA5" w:rsidRDefault="00165E10" w:rsidP="00165E10">
            <w:pPr>
              <w:jc w:val="center"/>
            </w:pPr>
            <w:r w:rsidRPr="00B94BA5">
              <w:t>5.3.</w:t>
            </w:r>
            <w:r w:rsidR="002D74F4">
              <w:t>14</w:t>
            </w:r>
          </w:p>
        </w:tc>
        <w:tc>
          <w:tcPr>
            <w:tcW w:w="1843" w:type="dxa"/>
            <w:shd w:val="clear" w:color="auto" w:fill="FDE9D9" w:themeFill="accent6" w:themeFillTint="33"/>
          </w:tcPr>
          <w:p w14:paraId="4B26C526" w14:textId="77777777" w:rsidR="00165E10" w:rsidRPr="00B94BA5" w:rsidRDefault="00165E10" w:rsidP="00165E10">
            <w:pPr>
              <w:jc w:val="center"/>
            </w:pPr>
            <w:r>
              <w:t>-</w:t>
            </w:r>
          </w:p>
        </w:tc>
        <w:tc>
          <w:tcPr>
            <w:tcW w:w="4125" w:type="dxa"/>
            <w:shd w:val="clear" w:color="auto" w:fill="FDE9D9" w:themeFill="accent6" w:themeFillTint="33"/>
          </w:tcPr>
          <w:p w14:paraId="296631DA" w14:textId="77777777" w:rsidR="00165E10" w:rsidRPr="00B94BA5" w:rsidRDefault="00165E10" w:rsidP="004B3638">
            <w:r w:rsidRPr="00B94BA5">
              <w:t>Festa og sig fyrir flugv</w:t>
            </w:r>
            <w:r>
              <w:t>alla</w:t>
            </w:r>
            <w:r w:rsidRPr="00B94BA5">
              <w:t>malbik</w:t>
            </w:r>
            <w:r w:rsidRPr="00B94BA5">
              <w:rPr>
                <w:vertAlign w:val="superscript"/>
              </w:rPr>
              <w:t>1)</w:t>
            </w:r>
          </w:p>
        </w:tc>
      </w:tr>
    </w:tbl>
    <w:p w14:paraId="68E85C34" w14:textId="605F6315" w:rsidR="00165E10" w:rsidRPr="00165E10" w:rsidRDefault="00441A63" w:rsidP="00441A63">
      <w:r w:rsidRPr="00441A63">
        <w:rPr>
          <w:i/>
          <w:sz w:val="20"/>
          <w:szCs w:val="20"/>
        </w:rPr>
        <w:t>1)</w:t>
      </w:r>
      <w:r>
        <w:rPr>
          <w:i/>
          <w:sz w:val="20"/>
          <w:szCs w:val="20"/>
        </w:rPr>
        <w:t xml:space="preserve"> </w:t>
      </w:r>
      <w:r w:rsidR="000D7ACD" w:rsidRPr="00441A63">
        <w:rPr>
          <w:i/>
          <w:sz w:val="20"/>
          <w:szCs w:val="20"/>
        </w:rPr>
        <w:t>Við sýnagerð er farið eftir staðli ÍST EN 12697-30. Malbik í vegagerð er þjappað með 2x50 höggum og fyrir flugvelli 2x75 höggum.</w:t>
      </w:r>
      <w:r w:rsidR="001533EF" w:rsidRPr="00441A63">
        <w:rPr>
          <w:i/>
          <w:sz w:val="20"/>
          <w:szCs w:val="20"/>
        </w:rPr>
        <w:t xml:space="preserve"> Ekki er gerð krafa um mælingu á festu og sigi samkvæmt Marshall aðferð fyrir malbik á vegi</w:t>
      </w:r>
      <w:r w:rsidR="004B3638" w:rsidRPr="00441A63">
        <w:rPr>
          <w:i/>
          <w:sz w:val="20"/>
          <w:szCs w:val="20"/>
        </w:rPr>
        <w:t>.</w:t>
      </w:r>
    </w:p>
    <w:p w14:paraId="3604E71F" w14:textId="77777777" w:rsidR="0073175B" w:rsidRDefault="0073175B" w:rsidP="00DD2CED">
      <w:pPr>
        <w:jc w:val="both"/>
      </w:pPr>
    </w:p>
    <w:p w14:paraId="352629D5" w14:textId="223A6DB9" w:rsidR="004E4DC1" w:rsidRPr="00165E10" w:rsidRDefault="00165E10" w:rsidP="008854B5">
      <w:pPr>
        <w:ind w:firstLine="284"/>
        <w:jc w:val="both"/>
        <w:rPr>
          <w:b/>
          <w:bCs/>
          <w:kern w:val="32"/>
        </w:rPr>
      </w:pPr>
      <w:r w:rsidRPr="00165E10">
        <w:t xml:space="preserve">Kröfur til hitastigs malbiks við framleiðslu eru háðar gerð bindiefnisins sem notað er í viðkomandi malbiksblöndu. Til dæmis skal hitastig malbiksins við framleiðslu vera </w:t>
      </w:r>
      <w:r w:rsidR="00B9799D">
        <w:t xml:space="preserve">að hámarki </w:t>
      </w:r>
      <w:r w:rsidRPr="00165E10">
        <w:t>1</w:t>
      </w:r>
      <w:r w:rsidR="00B9799D">
        <w:t>65</w:t>
      </w:r>
      <w:r w:rsidRPr="00165E10">
        <w:t>°C þegar bik er með stungudýpt PG 160/220, en 180°C ef bikið er með stungudýpt PG 70/100. Ef hitalækkandi efni eða fjölliður eru notuð í bikið geta önnur hitastigsmörk gilt.</w:t>
      </w:r>
      <w:r w:rsidR="004E4DC1" w:rsidRPr="00165E10">
        <w:br w:type="page"/>
      </w:r>
    </w:p>
    <w:p w14:paraId="141F9C49" w14:textId="77777777" w:rsidR="009C5758" w:rsidRPr="00220C65" w:rsidRDefault="00566F6E" w:rsidP="00566F6E">
      <w:pPr>
        <w:pStyle w:val="Heading1"/>
      </w:pPr>
      <w:bookmarkStart w:id="29" w:name="_Toc52971445"/>
      <w:r w:rsidRPr="00220C65">
        <w:lastRenderedPageBreak/>
        <w:t>Almennar frávikskröfur</w:t>
      </w:r>
      <w:bookmarkEnd w:id="29"/>
    </w:p>
    <w:p w14:paraId="1BBB5013" w14:textId="77777777" w:rsidR="00A8726A" w:rsidRDefault="00A8726A" w:rsidP="002C7F55">
      <w:pPr>
        <w:pStyle w:val="BodyTextIndent"/>
        <w:spacing w:before="0"/>
        <w:ind w:left="0"/>
        <w:jc w:val="both"/>
        <w:rPr>
          <w:rFonts w:ascii="Arial" w:hAnsi="Arial" w:cs="Arial"/>
        </w:rPr>
      </w:pPr>
    </w:p>
    <w:p w14:paraId="7BFB9B2D" w14:textId="369024DB" w:rsidR="00977A49" w:rsidRDefault="006304D6" w:rsidP="000B1996">
      <w:pPr>
        <w:pStyle w:val="BodyTextIndent"/>
        <w:spacing w:before="0"/>
        <w:ind w:left="0" w:firstLine="284"/>
        <w:jc w:val="both"/>
      </w:pPr>
      <w:r w:rsidRPr="003506EE">
        <w:t>Hér eru birt</w:t>
      </w:r>
      <w:r w:rsidR="007C0C0B">
        <w:t xml:space="preserve"> ákvæði </w:t>
      </w:r>
      <w:r w:rsidR="0029737A">
        <w:t xml:space="preserve">Vegagerðarinnar </w:t>
      </w:r>
      <w:r w:rsidR="007C0C0B">
        <w:t>um leyfileg</w:t>
      </w:r>
      <w:r w:rsidRPr="003506EE">
        <w:t xml:space="preserve"> frávik</w:t>
      </w:r>
      <w:r w:rsidR="00550912">
        <w:t xml:space="preserve"> </w:t>
      </w:r>
      <w:r w:rsidR="007C0C0B">
        <w:t>frá kröfum til steinefna og</w:t>
      </w:r>
      <w:r w:rsidR="00550912">
        <w:t xml:space="preserve"> kornadreifing</w:t>
      </w:r>
      <w:r w:rsidR="007C0C0B">
        <w:t>ar</w:t>
      </w:r>
      <w:r w:rsidR="00550912">
        <w:t xml:space="preserve"> steinefna</w:t>
      </w:r>
      <w:r w:rsidR="007C0C0B">
        <w:t xml:space="preserve"> sem ætluð eru til nota í óbundin eða bikbundin</w:t>
      </w:r>
      <w:r w:rsidR="00977A49">
        <w:t xml:space="preserve"> lög vegar eða í steinsteypu.</w:t>
      </w:r>
    </w:p>
    <w:p w14:paraId="7E7D08FA" w14:textId="77777777" w:rsidR="001E7B11" w:rsidRDefault="00977A49" w:rsidP="003506EE">
      <w:pPr>
        <w:pStyle w:val="Heading2"/>
      </w:pPr>
      <w:bookmarkStart w:id="30" w:name="_Toc52971446"/>
      <w:r>
        <w:t>Frávik frá steinefnakröfum</w:t>
      </w:r>
      <w:bookmarkEnd w:id="30"/>
    </w:p>
    <w:p w14:paraId="1DCE53F0" w14:textId="346286AB" w:rsidR="001E7B11" w:rsidRDefault="001D3ED7" w:rsidP="000B1996">
      <w:pPr>
        <w:ind w:firstLine="284"/>
        <w:jc w:val="both"/>
      </w:pPr>
      <w:r>
        <w:t xml:space="preserve">Um frávik á kröfum til steinefna svo sem um styrk, veðrunarþol eða slitþol gildir sú almenna regla </w:t>
      </w:r>
      <w:r w:rsidR="0076685A">
        <w:t xml:space="preserve">hjá Vegagerðinni </w:t>
      </w:r>
      <w:r w:rsidRPr="00B60CCE">
        <w:t>að eitt sýni af hverjum fimm (20%) má víkja frá gildandi kröfu en þó má ekkert frávik vera meira en 1</w:t>
      </w:r>
      <w:r w:rsidR="00373A02">
        <w:t>0% af tölugildi kröfuflokksins</w:t>
      </w:r>
      <w:r w:rsidRPr="00B60CCE">
        <w:t xml:space="preserve"> í átt til lakari efnisgæða. Þannig mætti mest eitt sýni af fimm mælast með LA gildi</w:t>
      </w:r>
      <w:r w:rsidR="005C32F5">
        <w:t xml:space="preserve"> að hámarki</w:t>
      </w:r>
      <w:r w:rsidRPr="00B60CCE">
        <w:t xml:space="preserve"> 22 ef kröfuflokkurinn er LA</w:t>
      </w:r>
      <w:r w:rsidRPr="00B60CCE">
        <w:rPr>
          <w:vertAlign w:val="subscript"/>
        </w:rPr>
        <w:t>20</w:t>
      </w:r>
      <w:r w:rsidRPr="00B60CCE">
        <w:t>.</w:t>
      </w:r>
      <w:r w:rsidR="00883B58">
        <w:t xml:space="preserve">  </w:t>
      </w:r>
    </w:p>
    <w:p w14:paraId="0F76CE12" w14:textId="77777777" w:rsidR="001E7B11" w:rsidRDefault="00977A49" w:rsidP="003506EE">
      <w:pPr>
        <w:pStyle w:val="Heading2"/>
      </w:pPr>
      <w:bookmarkStart w:id="31" w:name="_Toc52971447"/>
      <w:r>
        <w:t>Vikmörk kornadreifinga</w:t>
      </w:r>
      <w:r w:rsidR="004F1AF4">
        <w:t>r</w:t>
      </w:r>
      <w:bookmarkEnd w:id="31"/>
    </w:p>
    <w:p w14:paraId="5BCC3EA3" w14:textId="77777777" w:rsidR="00677D4D" w:rsidRDefault="00677D4D" w:rsidP="00677D4D">
      <w:pPr>
        <w:pStyle w:val="Heading3"/>
      </w:pPr>
      <w:bookmarkStart w:id="32" w:name="_Toc52971448"/>
      <w:r>
        <w:t>Almennt</w:t>
      </w:r>
      <w:bookmarkEnd w:id="32"/>
    </w:p>
    <w:p w14:paraId="06763363" w14:textId="77777777" w:rsidR="00D9073D" w:rsidRDefault="004F1AF4" w:rsidP="000B1996">
      <w:pPr>
        <w:pStyle w:val="BodyTextIndent"/>
        <w:spacing w:before="0"/>
        <w:ind w:left="0" w:firstLine="284"/>
        <w:jc w:val="both"/>
      </w:pPr>
      <w:r>
        <w:rPr>
          <w:bCs/>
          <w:iCs/>
        </w:rPr>
        <w:t>Markalínur fyrir burðarlagsefni og malarslitlagsefni eru birtar í viðkomandi köflum</w:t>
      </w:r>
      <w:r w:rsidR="0029737A">
        <w:rPr>
          <w:bCs/>
          <w:iCs/>
        </w:rPr>
        <w:t xml:space="preserve"> </w:t>
      </w:r>
      <w:r w:rsidR="002D1B51">
        <w:rPr>
          <w:bCs/>
          <w:iCs/>
        </w:rPr>
        <w:t>í Efnisgæða</w:t>
      </w:r>
      <w:r w:rsidR="0029737A">
        <w:rPr>
          <w:bCs/>
          <w:iCs/>
        </w:rPr>
        <w:t>rit</w:t>
      </w:r>
      <w:r w:rsidR="002D1B51">
        <w:rPr>
          <w:bCs/>
          <w:iCs/>
        </w:rPr>
        <w:t>i</w:t>
      </w:r>
      <w:r w:rsidR="00CD5145">
        <w:rPr>
          <w:bCs/>
          <w:iCs/>
        </w:rPr>
        <w:t>nu</w:t>
      </w:r>
      <w:r>
        <w:rPr>
          <w:bCs/>
          <w:iCs/>
        </w:rPr>
        <w:t>. Sýndar eru</w:t>
      </w:r>
      <w:r w:rsidR="00D9073D">
        <w:rPr>
          <w:bCs/>
          <w:iCs/>
        </w:rPr>
        <w:t xml:space="preserve"> innri og ytri</w:t>
      </w:r>
      <w:r>
        <w:rPr>
          <w:bCs/>
          <w:iCs/>
        </w:rPr>
        <w:t xml:space="preserve"> markalínur fyrir hvern stærðarflokk á sáldurferlum</w:t>
      </w:r>
      <w:r w:rsidR="00EE1F43">
        <w:rPr>
          <w:bCs/>
          <w:iCs/>
        </w:rPr>
        <w:t xml:space="preserve"> sem byggðar eru á framleiðslustaðli ÍST EN 13285, sem gefinn er út af CEN TC 227 (e. Road materials)</w:t>
      </w:r>
      <w:r>
        <w:t xml:space="preserve">. Almennt gildir </w:t>
      </w:r>
      <w:r w:rsidR="007C3F72">
        <w:t xml:space="preserve">að meðaltal allra mælinga </w:t>
      </w:r>
      <w:r w:rsidR="007C3F72" w:rsidRPr="000F7A73">
        <w:t>skal l</w:t>
      </w:r>
      <w:r w:rsidR="007C3F72">
        <w:t xml:space="preserve">iggja innan við innri markalínurnar en einstakar mælingar mega liggja utan þeirra en þó </w:t>
      </w:r>
      <w:r w:rsidR="007C3F72" w:rsidRPr="000F7A73">
        <w:t>skal</w:t>
      </w:r>
      <w:r w:rsidR="007C3F72">
        <w:t xml:space="preserve"> enginn hluti kornadreifingar liggja utan við ytri markalínur</w:t>
      </w:r>
      <w:r>
        <w:t>.</w:t>
      </w:r>
      <w:r w:rsidR="007C3F72">
        <w:t xml:space="preserve"> Þessi stöku frávik mega þó ekki víkja bæði niður og upp fyrir innri markalínur.</w:t>
      </w:r>
      <w:r>
        <w:t xml:space="preserve"> </w:t>
      </w:r>
    </w:p>
    <w:p w14:paraId="5BD6E154" w14:textId="42D51A79" w:rsidR="00540952" w:rsidRDefault="004F1AF4" w:rsidP="00D9073D">
      <w:pPr>
        <w:pStyle w:val="BodyTextIndent"/>
        <w:spacing w:before="0"/>
        <w:ind w:left="0" w:firstLine="284"/>
        <w:jc w:val="both"/>
        <w:rPr>
          <w:bCs/>
          <w:iCs/>
        </w:rPr>
      </w:pPr>
      <w:r>
        <w:rPr>
          <w:bCs/>
          <w:iCs/>
        </w:rPr>
        <w:t>Ekki eru settar fram frávikskröfur fyrir</w:t>
      </w:r>
      <w:r w:rsidR="0014393C">
        <w:rPr>
          <w:bCs/>
          <w:iCs/>
        </w:rPr>
        <w:t xml:space="preserve"> kor</w:t>
      </w:r>
      <w:r w:rsidR="00D9073D">
        <w:rPr>
          <w:bCs/>
          <w:iCs/>
        </w:rPr>
        <w:t>nadreifingu styrktarlagsefnis,</w:t>
      </w:r>
      <w:r>
        <w:rPr>
          <w:bCs/>
          <w:iCs/>
        </w:rPr>
        <w:t xml:space="preserve"> óflokkað</w:t>
      </w:r>
      <w:r w:rsidR="00D9073D">
        <w:rPr>
          <w:bCs/>
          <w:iCs/>
        </w:rPr>
        <w:t>s</w:t>
      </w:r>
      <w:r>
        <w:rPr>
          <w:bCs/>
          <w:iCs/>
        </w:rPr>
        <w:t xml:space="preserve"> klæðingarefni</w:t>
      </w:r>
      <w:r w:rsidR="00D9073D">
        <w:rPr>
          <w:bCs/>
          <w:iCs/>
        </w:rPr>
        <w:t>s og steinefnis í steinsteypu</w:t>
      </w:r>
      <w:r>
        <w:rPr>
          <w:bCs/>
          <w:iCs/>
        </w:rPr>
        <w:t>.</w:t>
      </w:r>
      <w:r w:rsidR="00D9073D">
        <w:rPr>
          <w:bCs/>
          <w:iCs/>
        </w:rPr>
        <w:t xml:space="preserve"> </w:t>
      </w:r>
      <w:r w:rsidR="002C7BF3">
        <w:rPr>
          <w:bCs/>
          <w:iCs/>
        </w:rPr>
        <w:t xml:space="preserve">Í framleiðslustöðlunum </w:t>
      </w:r>
      <w:r w:rsidR="00540952">
        <w:rPr>
          <w:bCs/>
          <w:iCs/>
        </w:rPr>
        <w:t xml:space="preserve">eru sett fram ákvæði um að minnst 90% </w:t>
      </w:r>
      <w:r w:rsidR="00057D10">
        <w:rPr>
          <w:bCs/>
          <w:iCs/>
        </w:rPr>
        <w:t>mælinga á kornadreifingu</w:t>
      </w:r>
      <w:r w:rsidR="00540952">
        <w:rPr>
          <w:bCs/>
          <w:iCs/>
        </w:rPr>
        <w:t xml:space="preserve"> (yfir- og undirstærðir og fínefna</w:t>
      </w:r>
      <w:r w:rsidR="00057D10">
        <w:rPr>
          <w:bCs/>
          <w:iCs/>
        </w:rPr>
        <w:t>flokkur</w:t>
      </w:r>
      <w:r w:rsidR="00540952">
        <w:rPr>
          <w:bCs/>
          <w:iCs/>
        </w:rPr>
        <w:t>) skuli vera innan marka þess kröfuflokks sem settur er fram.</w:t>
      </w:r>
      <w:r w:rsidR="00D9073D">
        <w:rPr>
          <w:bCs/>
          <w:iCs/>
        </w:rPr>
        <w:t xml:space="preserve"> Þessi ákvæði gilda þegar ekki eru sett önnur vikmörk varðandi kornadreifingu.</w:t>
      </w:r>
    </w:p>
    <w:p w14:paraId="201B1A31" w14:textId="77777777" w:rsidR="00677D4D" w:rsidRDefault="00677D4D" w:rsidP="00677D4D">
      <w:pPr>
        <w:pStyle w:val="Heading3"/>
      </w:pPr>
      <w:bookmarkStart w:id="33" w:name="_Toc52971449"/>
      <w:r>
        <w:t>Þolvik frá hönnuðum sáldurferli í malbiki</w:t>
      </w:r>
      <w:bookmarkEnd w:id="33"/>
    </w:p>
    <w:p w14:paraId="4AC87EC6" w14:textId="2D526284" w:rsidR="0072474B" w:rsidRDefault="0072474B" w:rsidP="0072474B">
      <w:pPr>
        <w:pStyle w:val="BodyTextIndent"/>
        <w:spacing w:before="0"/>
        <w:ind w:left="0" w:firstLine="330"/>
        <w:jc w:val="both"/>
      </w:pPr>
      <w:r w:rsidRPr="00B83DE4">
        <w:t>Við hönnun skal sáldurferill steinefna í malbiki (eftir blöndun úr mismunandi stærðaflokkum ef svo ber undir) liggja milli markalína sem eru tilgreindar á myndum 64-7 til 64-1</w:t>
      </w:r>
      <w:r w:rsidR="00436250">
        <w:t>4</w:t>
      </w:r>
      <w:r>
        <w:t xml:space="preserve"> í kafla 6</w:t>
      </w:r>
      <w:r w:rsidR="002D1B51">
        <w:t>4</w:t>
      </w:r>
      <w:r w:rsidR="0029737A" w:rsidRPr="0029737A">
        <w:rPr>
          <w:bCs/>
          <w:iCs/>
        </w:rPr>
        <w:t xml:space="preserve"> </w:t>
      </w:r>
      <w:r w:rsidR="0029737A">
        <w:rPr>
          <w:bCs/>
          <w:iCs/>
        </w:rPr>
        <w:t xml:space="preserve">í </w:t>
      </w:r>
      <w:r w:rsidR="00436250">
        <w:rPr>
          <w:bCs/>
          <w:iCs/>
        </w:rPr>
        <w:t>Efnisgæða</w:t>
      </w:r>
      <w:r w:rsidR="0029737A">
        <w:rPr>
          <w:bCs/>
          <w:iCs/>
        </w:rPr>
        <w:t>riti Vegagerðarinnar</w:t>
      </w:r>
      <w:r w:rsidRPr="00B83DE4">
        <w:t>. Markalínurnar eru í samræmi við E</w:t>
      </w:r>
      <w:r w:rsidR="00016C42">
        <w:t>vrópu</w:t>
      </w:r>
      <w:r w:rsidRPr="00B83DE4">
        <w:t xml:space="preserve">staðla, ÍST EN 13108-1 fyrir </w:t>
      </w:r>
      <w:r w:rsidR="00436250">
        <w:t>stíf</w:t>
      </w:r>
      <w:r w:rsidR="00436250" w:rsidRPr="00B83DE4">
        <w:t xml:space="preserve">malbik </w:t>
      </w:r>
      <w:r w:rsidRPr="00B83DE4">
        <w:t>(</w:t>
      </w:r>
      <w:r w:rsidR="00436250">
        <w:t>AC</w:t>
      </w:r>
      <w:r w:rsidRPr="00B83DE4">
        <w:t>)</w:t>
      </w:r>
      <w:r w:rsidR="00436250">
        <w:t xml:space="preserve"> og</w:t>
      </w:r>
      <w:r w:rsidRPr="00B83DE4">
        <w:t xml:space="preserve"> burðarlagsmalbik (BRL) og ÍST EN 13108-5 fyrir steinríkt malbik (SMA). Hannaður sáldurferill skal liggja á milli markalínanna og heppilegast er að hann liggi sem næst samsíða þeim. Sáldurferill sem slangrar milli markalínanna er óheppilegur og ber að forðast. </w:t>
      </w:r>
      <w:r w:rsidR="008B0B52" w:rsidRPr="008B0B52">
        <w:t>ÍST EN 13108-21</w:t>
      </w:r>
      <w:r w:rsidR="00436250">
        <w:t xml:space="preserve"> um framleiðslueftirlit</w:t>
      </w:r>
      <w:r w:rsidR="00976D4D">
        <w:t xml:space="preserve"> (</w:t>
      </w:r>
      <w:r w:rsidR="00436250">
        <w:t xml:space="preserve">e. </w:t>
      </w:r>
      <w:r w:rsidR="00976D4D">
        <w:t>Factory Production Control)</w:t>
      </w:r>
      <w:r w:rsidR="008B0B52" w:rsidRPr="008B0B52">
        <w:t xml:space="preserve"> tilgreinir meðal annars þolvik </w:t>
      </w:r>
      <w:r w:rsidR="00976D4D">
        <w:t>frá hönnuðum sáldurferli við</w:t>
      </w:r>
      <w:r w:rsidR="008B0B52" w:rsidRPr="008B0B52">
        <w:t xml:space="preserve"> malbiksframleiðslu. Tveir flokkar þolvika eru leyfðir, sbr. viðauka A í staðlinum. Annar þeirra leggur </w:t>
      </w:r>
      <w:r w:rsidR="00976D4D" w:rsidRPr="008B0B52">
        <w:t>meðaltöl af niðurstöðum fjögurra sýna</w:t>
      </w:r>
      <w:r w:rsidR="0025107D">
        <w:t xml:space="preserve"> til grundvallar</w:t>
      </w:r>
      <w:r w:rsidR="00976D4D">
        <w:t>, sj</w:t>
      </w:r>
      <w:r w:rsidR="006C31C4">
        <w:t>á mynd 4.</w:t>
      </w:r>
      <w:r w:rsidR="00976D4D">
        <w:t>1</w:t>
      </w:r>
      <w:r w:rsidR="008B0B52" w:rsidRPr="008B0B52">
        <w:t xml:space="preserve">, </w:t>
      </w:r>
      <w:r w:rsidR="0025107D">
        <w:t xml:space="preserve">en </w:t>
      </w:r>
      <w:r w:rsidR="008B0B52" w:rsidRPr="008B0B52">
        <w:t xml:space="preserve">hinn </w:t>
      </w:r>
      <w:r w:rsidR="0025107D">
        <w:t>leggur</w:t>
      </w:r>
      <w:r w:rsidR="0025107D" w:rsidRPr="00976D4D">
        <w:t xml:space="preserve"> </w:t>
      </w:r>
      <w:r w:rsidR="00976D4D" w:rsidRPr="008B0B52">
        <w:t>niðurstöður stakra sýna til grundvallar</w:t>
      </w:r>
      <w:r w:rsidR="00976D4D">
        <w:t>, sjá mynd 4</w:t>
      </w:r>
      <w:r w:rsidR="006C31C4">
        <w:t>.</w:t>
      </w:r>
      <w:r w:rsidR="00976D4D">
        <w:t>2</w:t>
      </w:r>
      <w:r w:rsidR="008B0B52" w:rsidRPr="008B0B52">
        <w:t xml:space="preserve">. Aðeins er heimilt að nota annan flokkinn í hverri framleiðslustöð hverju sinni. </w:t>
      </w:r>
    </w:p>
    <w:p w14:paraId="08B45BE2" w14:textId="77777777" w:rsidR="00DE6A69" w:rsidRDefault="00DE6A69" w:rsidP="0072474B">
      <w:pPr>
        <w:pStyle w:val="BodyTextIndent"/>
        <w:spacing w:before="0"/>
        <w:ind w:left="0" w:firstLine="330"/>
        <w:jc w:val="both"/>
      </w:pPr>
    </w:p>
    <w:p w14:paraId="0A359A70" w14:textId="77777777" w:rsidR="00DE6A69" w:rsidRDefault="00DE6A69" w:rsidP="0072474B">
      <w:pPr>
        <w:pStyle w:val="BodyTextIndent"/>
        <w:spacing w:before="0"/>
        <w:ind w:left="0" w:firstLine="330"/>
        <w:jc w:val="both"/>
      </w:pPr>
    </w:p>
    <w:p w14:paraId="45726A0B" w14:textId="77777777" w:rsidR="00DE6A69" w:rsidRDefault="00DE6A69" w:rsidP="0072474B">
      <w:pPr>
        <w:pStyle w:val="BodyTextIndent"/>
        <w:spacing w:before="0"/>
        <w:ind w:left="0" w:firstLine="330"/>
        <w:jc w:val="both"/>
      </w:pPr>
    </w:p>
    <w:p w14:paraId="515AFA0B" w14:textId="77777777" w:rsidR="00DE6A69" w:rsidRDefault="00DE6A69" w:rsidP="0072474B">
      <w:pPr>
        <w:pStyle w:val="BodyTextIndent"/>
        <w:spacing w:before="0"/>
        <w:ind w:left="0" w:firstLine="330"/>
        <w:jc w:val="both"/>
      </w:pPr>
    </w:p>
    <w:p w14:paraId="097C210A" w14:textId="3C95EDC0" w:rsidR="007317FC" w:rsidRPr="00C70C88" w:rsidRDefault="007317FC" w:rsidP="007317FC">
      <w:pPr>
        <w:pStyle w:val="Caption"/>
        <w:keepNext/>
        <w:ind w:right="90"/>
        <w:jc w:val="both"/>
        <w:rPr>
          <w:sz w:val="22"/>
          <w:szCs w:val="22"/>
        </w:rPr>
      </w:pPr>
      <w:r>
        <w:rPr>
          <w:sz w:val="22"/>
          <w:szCs w:val="22"/>
        </w:rPr>
        <w:lastRenderedPageBreak/>
        <w:t xml:space="preserve">Tafla </w:t>
      </w:r>
      <w:r w:rsidRPr="00C70C88">
        <w:rPr>
          <w:sz w:val="22"/>
          <w:szCs w:val="22"/>
        </w:rPr>
        <w:t>4</w:t>
      </w:r>
      <w:r w:rsidR="006C31C4">
        <w:rPr>
          <w:sz w:val="22"/>
          <w:szCs w:val="22"/>
        </w:rPr>
        <w:t>.</w:t>
      </w:r>
      <w:r w:rsidRPr="00C70C88">
        <w:rPr>
          <w:sz w:val="22"/>
          <w:szCs w:val="22"/>
        </w:rPr>
        <w:t>1:</w:t>
      </w:r>
      <w:r w:rsidRPr="00C70C88">
        <w:rPr>
          <w:b w:val="0"/>
          <w:sz w:val="22"/>
          <w:szCs w:val="22"/>
        </w:rPr>
        <w:t xml:space="preserve"> Þolvik (%) frá hönnuðum sáldurferli í sýnum af </w:t>
      </w:r>
      <w:r w:rsidR="0025107D">
        <w:rPr>
          <w:b w:val="0"/>
          <w:sz w:val="22"/>
          <w:szCs w:val="22"/>
        </w:rPr>
        <w:t>stíf</w:t>
      </w:r>
      <w:r w:rsidR="0025107D" w:rsidRPr="00C70C88">
        <w:rPr>
          <w:b w:val="0"/>
          <w:sz w:val="22"/>
          <w:szCs w:val="22"/>
        </w:rPr>
        <w:t>malbiki</w:t>
      </w:r>
      <w:r w:rsidR="0025107D">
        <w:rPr>
          <w:b w:val="0"/>
          <w:sz w:val="22"/>
          <w:szCs w:val="22"/>
        </w:rPr>
        <w:t xml:space="preserve"> og steinríku malbiki í slitlag</w:t>
      </w:r>
      <w:r w:rsidR="00976D4D">
        <w:rPr>
          <w:b w:val="0"/>
          <w:sz w:val="22"/>
          <w:szCs w:val="22"/>
        </w:rPr>
        <w:t>, meðaltal fjögurra sýna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71"/>
        <w:gridCol w:w="711"/>
        <w:gridCol w:w="657"/>
        <w:gridCol w:w="705"/>
        <w:gridCol w:w="705"/>
        <w:gridCol w:w="801"/>
        <w:gridCol w:w="801"/>
        <w:gridCol w:w="801"/>
      </w:tblGrid>
      <w:tr w:rsidR="00FA2722" w:rsidRPr="004E730D" w14:paraId="41E904F9" w14:textId="768CC4C3" w:rsidTr="00F52AF8">
        <w:trPr>
          <w:jc w:val="center"/>
        </w:trPr>
        <w:tc>
          <w:tcPr>
            <w:tcW w:w="6663" w:type="dxa"/>
            <w:gridSpan w:val="9"/>
            <w:shd w:val="clear" w:color="auto" w:fill="DAEEF3" w:themeFill="accent5" w:themeFillTint="33"/>
          </w:tcPr>
          <w:p w14:paraId="11656088" w14:textId="4C9A1F78" w:rsidR="00FA2722" w:rsidRPr="004E730D" w:rsidRDefault="00FA2722" w:rsidP="007317FC">
            <w:pPr>
              <w:jc w:val="center"/>
              <w:rPr>
                <w:b/>
                <w:sz w:val="22"/>
                <w:szCs w:val="22"/>
              </w:rPr>
            </w:pPr>
            <w:r w:rsidRPr="004E730D">
              <w:rPr>
                <w:b/>
                <w:sz w:val="22"/>
                <w:szCs w:val="22"/>
              </w:rPr>
              <w:t>Malbiksgerð SL</w:t>
            </w:r>
            <w:r>
              <w:rPr>
                <w:b/>
                <w:sz w:val="22"/>
                <w:szCs w:val="22"/>
              </w:rPr>
              <w:t>,</w:t>
            </w:r>
            <w:r w:rsidRPr="004E730D">
              <w:rPr>
                <w:b/>
                <w:sz w:val="22"/>
                <w:szCs w:val="22"/>
              </w:rPr>
              <w:t xml:space="preserve"> SMA</w:t>
            </w:r>
            <w:r>
              <w:rPr>
                <w:b/>
                <w:sz w:val="22"/>
                <w:szCs w:val="22"/>
              </w:rPr>
              <w:t xml:space="preserve"> og BRL, meðaltal fjögurra sýna</w:t>
            </w:r>
          </w:p>
        </w:tc>
      </w:tr>
      <w:tr w:rsidR="00FA2722" w:rsidRPr="004E730D" w14:paraId="465B7BD4" w14:textId="79350643" w:rsidTr="00F52AF8">
        <w:trPr>
          <w:jc w:val="center"/>
        </w:trPr>
        <w:tc>
          <w:tcPr>
            <w:tcW w:w="711" w:type="dxa"/>
            <w:shd w:val="clear" w:color="auto" w:fill="DAEEF3" w:themeFill="accent5" w:themeFillTint="33"/>
          </w:tcPr>
          <w:p w14:paraId="2370905D" w14:textId="77777777" w:rsidR="00FA2722" w:rsidRPr="004E730D" w:rsidRDefault="00FA2722" w:rsidP="007317FC">
            <w:pPr>
              <w:rPr>
                <w:b/>
                <w:sz w:val="22"/>
                <w:szCs w:val="22"/>
              </w:rPr>
            </w:pPr>
            <w:r w:rsidRPr="004E730D">
              <w:rPr>
                <w:b/>
                <w:sz w:val="22"/>
                <w:szCs w:val="22"/>
              </w:rPr>
              <w:t>Sigti</w:t>
            </w:r>
          </w:p>
        </w:tc>
        <w:tc>
          <w:tcPr>
            <w:tcW w:w="771" w:type="dxa"/>
            <w:shd w:val="clear" w:color="auto" w:fill="DAEEF3" w:themeFill="accent5" w:themeFillTint="33"/>
          </w:tcPr>
          <w:p w14:paraId="305EF356" w14:textId="57BB77D0" w:rsidR="00FA2722" w:rsidRPr="004E730D" w:rsidRDefault="00FA2722" w:rsidP="00291630">
            <w:pPr>
              <w:jc w:val="center"/>
              <w:rPr>
                <w:b/>
                <w:sz w:val="22"/>
                <w:szCs w:val="22"/>
              </w:rPr>
            </w:pPr>
            <w:r>
              <w:rPr>
                <w:b/>
                <w:sz w:val="22"/>
                <w:szCs w:val="22"/>
              </w:rPr>
              <w:t>AC</w:t>
            </w:r>
          </w:p>
          <w:p w14:paraId="45AA02E2" w14:textId="3B181DF0" w:rsidR="00FA2722" w:rsidRPr="004E730D" w:rsidRDefault="00FA2722" w:rsidP="00291630">
            <w:pPr>
              <w:jc w:val="center"/>
              <w:rPr>
                <w:b/>
                <w:sz w:val="22"/>
                <w:szCs w:val="22"/>
              </w:rPr>
            </w:pPr>
            <w:r w:rsidRPr="004E730D">
              <w:rPr>
                <w:b/>
                <w:sz w:val="22"/>
                <w:szCs w:val="22"/>
              </w:rPr>
              <w:t>8</w:t>
            </w:r>
          </w:p>
        </w:tc>
        <w:tc>
          <w:tcPr>
            <w:tcW w:w="711" w:type="dxa"/>
            <w:shd w:val="clear" w:color="auto" w:fill="DAEEF3" w:themeFill="accent5" w:themeFillTint="33"/>
          </w:tcPr>
          <w:p w14:paraId="263D6D5F" w14:textId="4DF044F9" w:rsidR="00FA2722" w:rsidRPr="004E730D" w:rsidRDefault="00FA2722" w:rsidP="00291630">
            <w:pPr>
              <w:jc w:val="center"/>
              <w:rPr>
                <w:b/>
                <w:sz w:val="22"/>
                <w:szCs w:val="22"/>
              </w:rPr>
            </w:pPr>
            <w:r>
              <w:rPr>
                <w:b/>
                <w:sz w:val="22"/>
                <w:szCs w:val="22"/>
              </w:rPr>
              <w:t>AC</w:t>
            </w:r>
            <w:r w:rsidRPr="004E730D">
              <w:rPr>
                <w:b/>
                <w:sz w:val="22"/>
                <w:szCs w:val="22"/>
              </w:rPr>
              <w:t xml:space="preserve"> 11</w:t>
            </w:r>
          </w:p>
        </w:tc>
        <w:tc>
          <w:tcPr>
            <w:tcW w:w="657" w:type="dxa"/>
            <w:shd w:val="clear" w:color="auto" w:fill="DAEEF3" w:themeFill="accent5" w:themeFillTint="33"/>
          </w:tcPr>
          <w:p w14:paraId="1D99A41D" w14:textId="1592D934" w:rsidR="00FA2722" w:rsidRPr="004E730D" w:rsidRDefault="00FA2722" w:rsidP="00291630">
            <w:pPr>
              <w:jc w:val="center"/>
              <w:rPr>
                <w:b/>
                <w:sz w:val="22"/>
                <w:szCs w:val="22"/>
              </w:rPr>
            </w:pPr>
            <w:r>
              <w:rPr>
                <w:b/>
                <w:sz w:val="22"/>
                <w:szCs w:val="22"/>
              </w:rPr>
              <w:t>AC</w:t>
            </w:r>
            <w:r w:rsidRPr="004E730D">
              <w:rPr>
                <w:b/>
                <w:sz w:val="22"/>
                <w:szCs w:val="22"/>
              </w:rPr>
              <w:t xml:space="preserve"> 16</w:t>
            </w:r>
          </w:p>
        </w:tc>
        <w:tc>
          <w:tcPr>
            <w:tcW w:w="705" w:type="dxa"/>
            <w:shd w:val="clear" w:color="auto" w:fill="DAEEF3" w:themeFill="accent5" w:themeFillTint="33"/>
          </w:tcPr>
          <w:p w14:paraId="2A39B4C5" w14:textId="77777777" w:rsidR="00FA2722" w:rsidRPr="004E730D" w:rsidRDefault="00FA2722" w:rsidP="00291630">
            <w:pPr>
              <w:jc w:val="center"/>
              <w:rPr>
                <w:b/>
                <w:sz w:val="22"/>
                <w:szCs w:val="22"/>
              </w:rPr>
            </w:pPr>
            <w:r w:rsidRPr="004E730D">
              <w:rPr>
                <w:b/>
                <w:sz w:val="22"/>
                <w:szCs w:val="22"/>
              </w:rPr>
              <w:t>SMA 8</w:t>
            </w:r>
          </w:p>
        </w:tc>
        <w:tc>
          <w:tcPr>
            <w:tcW w:w="705" w:type="dxa"/>
            <w:shd w:val="clear" w:color="auto" w:fill="DAEEF3" w:themeFill="accent5" w:themeFillTint="33"/>
          </w:tcPr>
          <w:p w14:paraId="02D8A0F1" w14:textId="77777777" w:rsidR="00FA2722" w:rsidRPr="004E730D" w:rsidRDefault="00FA2722" w:rsidP="00291630">
            <w:pPr>
              <w:jc w:val="center"/>
              <w:rPr>
                <w:b/>
                <w:sz w:val="22"/>
                <w:szCs w:val="22"/>
              </w:rPr>
            </w:pPr>
            <w:r w:rsidRPr="004E730D">
              <w:rPr>
                <w:b/>
                <w:sz w:val="22"/>
                <w:szCs w:val="22"/>
              </w:rPr>
              <w:t>SMA 11</w:t>
            </w:r>
          </w:p>
        </w:tc>
        <w:tc>
          <w:tcPr>
            <w:tcW w:w="801" w:type="dxa"/>
            <w:shd w:val="clear" w:color="auto" w:fill="DAEEF3" w:themeFill="accent5" w:themeFillTint="33"/>
          </w:tcPr>
          <w:p w14:paraId="4BA2F9F1" w14:textId="77777777" w:rsidR="00FA2722" w:rsidRPr="004E730D" w:rsidRDefault="00FA2722" w:rsidP="00291630">
            <w:pPr>
              <w:jc w:val="center"/>
              <w:rPr>
                <w:b/>
                <w:sz w:val="22"/>
                <w:szCs w:val="22"/>
              </w:rPr>
            </w:pPr>
            <w:r w:rsidRPr="004E730D">
              <w:rPr>
                <w:b/>
                <w:sz w:val="22"/>
                <w:szCs w:val="22"/>
              </w:rPr>
              <w:t>SMA 16</w:t>
            </w:r>
          </w:p>
        </w:tc>
        <w:tc>
          <w:tcPr>
            <w:tcW w:w="801" w:type="dxa"/>
            <w:shd w:val="clear" w:color="auto" w:fill="DAEEF3" w:themeFill="accent5" w:themeFillTint="33"/>
          </w:tcPr>
          <w:p w14:paraId="361B59DE" w14:textId="18289D14" w:rsidR="00FA2722" w:rsidRPr="004E730D" w:rsidRDefault="00FA2722" w:rsidP="00291630">
            <w:pPr>
              <w:jc w:val="center"/>
              <w:rPr>
                <w:b/>
                <w:sz w:val="22"/>
                <w:szCs w:val="22"/>
              </w:rPr>
            </w:pPr>
            <w:r>
              <w:rPr>
                <w:b/>
                <w:sz w:val="22"/>
                <w:szCs w:val="22"/>
              </w:rPr>
              <w:t>BRL 16</w:t>
            </w:r>
          </w:p>
        </w:tc>
        <w:tc>
          <w:tcPr>
            <w:tcW w:w="801" w:type="dxa"/>
            <w:shd w:val="clear" w:color="auto" w:fill="DAEEF3" w:themeFill="accent5" w:themeFillTint="33"/>
          </w:tcPr>
          <w:p w14:paraId="023E35C6" w14:textId="691EC45B" w:rsidR="00FA2722" w:rsidRPr="004E730D" w:rsidRDefault="00FA2722" w:rsidP="00291630">
            <w:pPr>
              <w:jc w:val="center"/>
              <w:rPr>
                <w:b/>
                <w:sz w:val="22"/>
                <w:szCs w:val="22"/>
              </w:rPr>
            </w:pPr>
            <w:r>
              <w:rPr>
                <w:b/>
                <w:sz w:val="22"/>
                <w:szCs w:val="22"/>
              </w:rPr>
              <w:t>BRL 22</w:t>
            </w:r>
          </w:p>
        </w:tc>
      </w:tr>
      <w:tr w:rsidR="00FA2722" w:rsidRPr="004E730D" w14:paraId="3A4F9910" w14:textId="27A1A31B" w:rsidTr="00F52AF8">
        <w:trPr>
          <w:jc w:val="center"/>
        </w:trPr>
        <w:tc>
          <w:tcPr>
            <w:tcW w:w="711" w:type="dxa"/>
            <w:shd w:val="clear" w:color="auto" w:fill="DAEEF3" w:themeFill="accent5" w:themeFillTint="33"/>
          </w:tcPr>
          <w:p w14:paraId="3EAA465D" w14:textId="77777777" w:rsidR="00FA2722" w:rsidRPr="004E730D" w:rsidRDefault="00FA2722" w:rsidP="00FA2722">
            <w:pPr>
              <w:jc w:val="center"/>
              <w:rPr>
                <w:sz w:val="22"/>
                <w:szCs w:val="22"/>
              </w:rPr>
            </w:pPr>
            <w:r w:rsidRPr="004E730D">
              <w:rPr>
                <w:sz w:val="22"/>
                <w:szCs w:val="22"/>
              </w:rPr>
              <w:t>0,063</w:t>
            </w:r>
          </w:p>
        </w:tc>
        <w:tc>
          <w:tcPr>
            <w:tcW w:w="771" w:type="dxa"/>
            <w:shd w:val="clear" w:color="auto" w:fill="FDE9D9" w:themeFill="accent6" w:themeFillTint="33"/>
          </w:tcPr>
          <w:p w14:paraId="255A292A" w14:textId="77777777" w:rsidR="00FA2722" w:rsidRPr="004E730D" w:rsidRDefault="00FA2722" w:rsidP="00FA2722">
            <w:pPr>
              <w:jc w:val="center"/>
              <w:rPr>
                <w:sz w:val="22"/>
                <w:szCs w:val="22"/>
              </w:rPr>
            </w:pPr>
            <w:r w:rsidRPr="004E730D">
              <w:rPr>
                <w:sz w:val="22"/>
                <w:szCs w:val="22"/>
              </w:rPr>
              <w:t>±1</w:t>
            </w:r>
          </w:p>
        </w:tc>
        <w:tc>
          <w:tcPr>
            <w:tcW w:w="711" w:type="dxa"/>
            <w:shd w:val="clear" w:color="auto" w:fill="FDE9D9" w:themeFill="accent6" w:themeFillTint="33"/>
          </w:tcPr>
          <w:p w14:paraId="0EE9FFC3" w14:textId="77777777" w:rsidR="00FA2722" w:rsidRPr="004E730D" w:rsidRDefault="00FA2722" w:rsidP="00FA2722">
            <w:pPr>
              <w:jc w:val="center"/>
              <w:rPr>
                <w:sz w:val="22"/>
                <w:szCs w:val="22"/>
              </w:rPr>
            </w:pPr>
            <w:r w:rsidRPr="004E730D">
              <w:rPr>
                <w:sz w:val="22"/>
                <w:szCs w:val="22"/>
              </w:rPr>
              <w:t>±1</w:t>
            </w:r>
          </w:p>
        </w:tc>
        <w:tc>
          <w:tcPr>
            <w:tcW w:w="657" w:type="dxa"/>
            <w:shd w:val="clear" w:color="auto" w:fill="FDE9D9" w:themeFill="accent6" w:themeFillTint="33"/>
          </w:tcPr>
          <w:p w14:paraId="4205849A" w14:textId="77777777" w:rsidR="00FA2722" w:rsidRPr="004E730D" w:rsidRDefault="00FA2722" w:rsidP="00FA2722">
            <w:pPr>
              <w:jc w:val="center"/>
              <w:rPr>
                <w:sz w:val="22"/>
                <w:szCs w:val="22"/>
              </w:rPr>
            </w:pPr>
            <w:r w:rsidRPr="004E730D">
              <w:rPr>
                <w:sz w:val="22"/>
                <w:szCs w:val="22"/>
              </w:rPr>
              <w:t>±2</w:t>
            </w:r>
          </w:p>
        </w:tc>
        <w:tc>
          <w:tcPr>
            <w:tcW w:w="705" w:type="dxa"/>
            <w:shd w:val="clear" w:color="auto" w:fill="FDE9D9" w:themeFill="accent6" w:themeFillTint="33"/>
          </w:tcPr>
          <w:p w14:paraId="68BCDA97" w14:textId="77777777" w:rsidR="00FA2722" w:rsidRPr="004E730D" w:rsidRDefault="00FA2722" w:rsidP="00FA2722">
            <w:pPr>
              <w:jc w:val="center"/>
              <w:rPr>
                <w:sz w:val="22"/>
                <w:szCs w:val="22"/>
              </w:rPr>
            </w:pPr>
            <w:r w:rsidRPr="004E730D">
              <w:rPr>
                <w:sz w:val="22"/>
                <w:szCs w:val="22"/>
              </w:rPr>
              <w:t>±1</w:t>
            </w:r>
          </w:p>
        </w:tc>
        <w:tc>
          <w:tcPr>
            <w:tcW w:w="705" w:type="dxa"/>
            <w:shd w:val="clear" w:color="auto" w:fill="FDE9D9" w:themeFill="accent6" w:themeFillTint="33"/>
          </w:tcPr>
          <w:p w14:paraId="301ABA1C" w14:textId="77777777" w:rsidR="00FA2722" w:rsidRPr="004E730D" w:rsidRDefault="00FA2722" w:rsidP="00FA2722">
            <w:pPr>
              <w:jc w:val="center"/>
              <w:rPr>
                <w:sz w:val="22"/>
                <w:szCs w:val="22"/>
              </w:rPr>
            </w:pPr>
            <w:r w:rsidRPr="004E730D">
              <w:rPr>
                <w:sz w:val="22"/>
                <w:szCs w:val="22"/>
              </w:rPr>
              <w:t>±1</w:t>
            </w:r>
          </w:p>
        </w:tc>
        <w:tc>
          <w:tcPr>
            <w:tcW w:w="801" w:type="dxa"/>
            <w:shd w:val="clear" w:color="auto" w:fill="FDE9D9" w:themeFill="accent6" w:themeFillTint="33"/>
          </w:tcPr>
          <w:p w14:paraId="0C628331" w14:textId="77777777" w:rsidR="00FA2722" w:rsidRPr="004E730D" w:rsidRDefault="00FA2722" w:rsidP="00FA2722">
            <w:pPr>
              <w:jc w:val="center"/>
              <w:rPr>
                <w:sz w:val="22"/>
                <w:szCs w:val="22"/>
              </w:rPr>
            </w:pPr>
            <w:r w:rsidRPr="004E730D">
              <w:rPr>
                <w:sz w:val="22"/>
                <w:szCs w:val="22"/>
              </w:rPr>
              <w:t>±2</w:t>
            </w:r>
          </w:p>
        </w:tc>
        <w:tc>
          <w:tcPr>
            <w:tcW w:w="801" w:type="dxa"/>
            <w:shd w:val="clear" w:color="auto" w:fill="FDE9D9" w:themeFill="accent6" w:themeFillTint="33"/>
          </w:tcPr>
          <w:p w14:paraId="67AA66C2" w14:textId="004E2443" w:rsidR="00FA2722" w:rsidRPr="004E730D" w:rsidRDefault="00FA2722" w:rsidP="00FA2722">
            <w:pPr>
              <w:jc w:val="center"/>
              <w:rPr>
                <w:sz w:val="22"/>
                <w:szCs w:val="22"/>
              </w:rPr>
            </w:pPr>
            <w:r w:rsidRPr="004E730D">
              <w:rPr>
                <w:sz w:val="22"/>
                <w:szCs w:val="22"/>
              </w:rPr>
              <w:t>±2</w:t>
            </w:r>
          </w:p>
        </w:tc>
        <w:tc>
          <w:tcPr>
            <w:tcW w:w="801" w:type="dxa"/>
            <w:shd w:val="clear" w:color="auto" w:fill="FDE9D9" w:themeFill="accent6" w:themeFillTint="33"/>
          </w:tcPr>
          <w:p w14:paraId="7EFB02CC" w14:textId="69A9D23C" w:rsidR="00FA2722" w:rsidRPr="004E730D" w:rsidRDefault="00FA2722" w:rsidP="00FA2722">
            <w:pPr>
              <w:jc w:val="center"/>
              <w:rPr>
                <w:sz w:val="22"/>
                <w:szCs w:val="22"/>
              </w:rPr>
            </w:pPr>
            <w:r w:rsidRPr="004E730D">
              <w:rPr>
                <w:sz w:val="22"/>
                <w:szCs w:val="22"/>
              </w:rPr>
              <w:t>±2</w:t>
            </w:r>
          </w:p>
        </w:tc>
      </w:tr>
      <w:tr w:rsidR="00FA2722" w:rsidRPr="004E730D" w14:paraId="1A1851F2" w14:textId="7EA74198" w:rsidTr="00F52AF8">
        <w:trPr>
          <w:jc w:val="center"/>
        </w:trPr>
        <w:tc>
          <w:tcPr>
            <w:tcW w:w="711" w:type="dxa"/>
            <w:shd w:val="clear" w:color="auto" w:fill="DAEEF3" w:themeFill="accent5" w:themeFillTint="33"/>
          </w:tcPr>
          <w:p w14:paraId="1AAFBF60" w14:textId="77777777" w:rsidR="00FA2722" w:rsidRPr="004E730D" w:rsidRDefault="00FA2722" w:rsidP="00FA2722">
            <w:pPr>
              <w:jc w:val="center"/>
              <w:rPr>
                <w:sz w:val="22"/>
                <w:szCs w:val="22"/>
              </w:rPr>
            </w:pPr>
            <w:r w:rsidRPr="004E730D">
              <w:rPr>
                <w:sz w:val="22"/>
                <w:szCs w:val="22"/>
              </w:rPr>
              <w:t>0,5</w:t>
            </w:r>
          </w:p>
        </w:tc>
        <w:tc>
          <w:tcPr>
            <w:tcW w:w="771" w:type="dxa"/>
            <w:shd w:val="clear" w:color="auto" w:fill="FDE9D9" w:themeFill="accent6" w:themeFillTint="33"/>
          </w:tcPr>
          <w:p w14:paraId="634D8111" w14:textId="77777777" w:rsidR="00FA2722" w:rsidRPr="004E730D" w:rsidRDefault="00FA2722" w:rsidP="00FA2722">
            <w:pPr>
              <w:jc w:val="center"/>
              <w:rPr>
                <w:sz w:val="22"/>
                <w:szCs w:val="22"/>
              </w:rPr>
            </w:pPr>
            <w:r w:rsidRPr="004E730D">
              <w:rPr>
                <w:sz w:val="22"/>
                <w:szCs w:val="22"/>
              </w:rPr>
              <w:t>±2</w:t>
            </w:r>
          </w:p>
        </w:tc>
        <w:tc>
          <w:tcPr>
            <w:tcW w:w="711" w:type="dxa"/>
            <w:shd w:val="clear" w:color="auto" w:fill="FDE9D9" w:themeFill="accent6" w:themeFillTint="33"/>
          </w:tcPr>
          <w:p w14:paraId="2F5D560C" w14:textId="77777777" w:rsidR="00FA2722" w:rsidRPr="004E730D" w:rsidRDefault="00FA2722" w:rsidP="00FA2722">
            <w:pPr>
              <w:jc w:val="center"/>
              <w:rPr>
                <w:sz w:val="22"/>
                <w:szCs w:val="22"/>
              </w:rPr>
            </w:pPr>
            <w:r w:rsidRPr="004E730D">
              <w:rPr>
                <w:sz w:val="22"/>
                <w:szCs w:val="22"/>
              </w:rPr>
              <w:t>±2</w:t>
            </w:r>
          </w:p>
        </w:tc>
        <w:tc>
          <w:tcPr>
            <w:tcW w:w="657" w:type="dxa"/>
            <w:shd w:val="clear" w:color="auto" w:fill="FDE9D9" w:themeFill="accent6" w:themeFillTint="33"/>
          </w:tcPr>
          <w:p w14:paraId="2ABAE147" w14:textId="77777777" w:rsidR="00FA2722" w:rsidRPr="004E730D" w:rsidRDefault="00FA2722" w:rsidP="00FA2722">
            <w:pPr>
              <w:jc w:val="center"/>
              <w:rPr>
                <w:sz w:val="22"/>
                <w:szCs w:val="22"/>
              </w:rPr>
            </w:pPr>
            <w:r w:rsidRPr="004E730D">
              <w:rPr>
                <w:sz w:val="22"/>
                <w:szCs w:val="22"/>
              </w:rPr>
              <w:t>±2</w:t>
            </w:r>
          </w:p>
        </w:tc>
        <w:tc>
          <w:tcPr>
            <w:tcW w:w="705" w:type="dxa"/>
            <w:shd w:val="clear" w:color="auto" w:fill="FDE9D9" w:themeFill="accent6" w:themeFillTint="33"/>
          </w:tcPr>
          <w:p w14:paraId="5E612F3E" w14:textId="77777777" w:rsidR="00FA2722" w:rsidRPr="004E730D" w:rsidRDefault="00FA2722" w:rsidP="00FA2722">
            <w:pPr>
              <w:jc w:val="center"/>
              <w:rPr>
                <w:sz w:val="22"/>
                <w:szCs w:val="22"/>
              </w:rPr>
            </w:pPr>
            <w:r w:rsidRPr="004E730D">
              <w:rPr>
                <w:sz w:val="22"/>
                <w:szCs w:val="22"/>
              </w:rPr>
              <w:t>±2</w:t>
            </w:r>
          </w:p>
        </w:tc>
        <w:tc>
          <w:tcPr>
            <w:tcW w:w="705" w:type="dxa"/>
            <w:shd w:val="clear" w:color="auto" w:fill="FDE9D9" w:themeFill="accent6" w:themeFillTint="33"/>
          </w:tcPr>
          <w:p w14:paraId="515E3E2E" w14:textId="77777777" w:rsidR="00FA2722" w:rsidRPr="004E730D" w:rsidRDefault="00FA2722" w:rsidP="00FA2722">
            <w:pPr>
              <w:jc w:val="center"/>
              <w:rPr>
                <w:sz w:val="22"/>
                <w:szCs w:val="22"/>
              </w:rPr>
            </w:pPr>
            <w:r w:rsidRPr="004E730D">
              <w:rPr>
                <w:sz w:val="22"/>
                <w:szCs w:val="22"/>
              </w:rPr>
              <w:t>±2</w:t>
            </w:r>
          </w:p>
        </w:tc>
        <w:tc>
          <w:tcPr>
            <w:tcW w:w="801" w:type="dxa"/>
            <w:shd w:val="clear" w:color="auto" w:fill="FDE9D9" w:themeFill="accent6" w:themeFillTint="33"/>
          </w:tcPr>
          <w:p w14:paraId="278450B1" w14:textId="77777777" w:rsidR="00FA2722" w:rsidRPr="004E730D" w:rsidRDefault="00FA2722" w:rsidP="00FA2722">
            <w:pPr>
              <w:jc w:val="center"/>
              <w:rPr>
                <w:sz w:val="22"/>
                <w:szCs w:val="22"/>
              </w:rPr>
            </w:pPr>
            <w:r w:rsidRPr="004E730D">
              <w:rPr>
                <w:sz w:val="22"/>
                <w:szCs w:val="22"/>
              </w:rPr>
              <w:t>±2</w:t>
            </w:r>
          </w:p>
        </w:tc>
        <w:tc>
          <w:tcPr>
            <w:tcW w:w="801" w:type="dxa"/>
            <w:shd w:val="clear" w:color="auto" w:fill="FDE9D9" w:themeFill="accent6" w:themeFillTint="33"/>
          </w:tcPr>
          <w:p w14:paraId="03C369EE" w14:textId="50D1D8EF" w:rsidR="00FA2722" w:rsidRPr="004E730D" w:rsidRDefault="00FA2722" w:rsidP="00FA2722">
            <w:pPr>
              <w:jc w:val="center"/>
              <w:rPr>
                <w:sz w:val="22"/>
                <w:szCs w:val="22"/>
              </w:rPr>
            </w:pPr>
            <w:r w:rsidRPr="004E730D">
              <w:rPr>
                <w:sz w:val="22"/>
                <w:szCs w:val="22"/>
              </w:rPr>
              <w:t>±2</w:t>
            </w:r>
          </w:p>
        </w:tc>
        <w:tc>
          <w:tcPr>
            <w:tcW w:w="801" w:type="dxa"/>
            <w:shd w:val="clear" w:color="auto" w:fill="FDE9D9" w:themeFill="accent6" w:themeFillTint="33"/>
          </w:tcPr>
          <w:p w14:paraId="718C5D3A" w14:textId="32F331D2" w:rsidR="00FA2722" w:rsidRPr="004E730D" w:rsidRDefault="00FA2722" w:rsidP="00FA2722">
            <w:pPr>
              <w:jc w:val="center"/>
              <w:rPr>
                <w:sz w:val="22"/>
                <w:szCs w:val="22"/>
              </w:rPr>
            </w:pPr>
            <w:r w:rsidRPr="004E730D">
              <w:rPr>
                <w:sz w:val="22"/>
                <w:szCs w:val="22"/>
              </w:rPr>
              <w:t>±2</w:t>
            </w:r>
          </w:p>
        </w:tc>
      </w:tr>
      <w:tr w:rsidR="00FA2722" w:rsidRPr="004E730D" w14:paraId="744DEA89" w14:textId="30E16166" w:rsidTr="00F52AF8">
        <w:trPr>
          <w:jc w:val="center"/>
        </w:trPr>
        <w:tc>
          <w:tcPr>
            <w:tcW w:w="711" w:type="dxa"/>
            <w:shd w:val="clear" w:color="auto" w:fill="DAEEF3" w:themeFill="accent5" w:themeFillTint="33"/>
          </w:tcPr>
          <w:p w14:paraId="320C7ADF" w14:textId="77777777" w:rsidR="00FA2722" w:rsidRPr="004E730D" w:rsidRDefault="00FA2722" w:rsidP="00FA2722">
            <w:pPr>
              <w:jc w:val="center"/>
              <w:rPr>
                <w:sz w:val="22"/>
                <w:szCs w:val="22"/>
              </w:rPr>
            </w:pPr>
            <w:r w:rsidRPr="004E730D">
              <w:rPr>
                <w:sz w:val="22"/>
                <w:szCs w:val="22"/>
              </w:rPr>
              <w:t>2</w:t>
            </w:r>
          </w:p>
        </w:tc>
        <w:tc>
          <w:tcPr>
            <w:tcW w:w="771" w:type="dxa"/>
            <w:shd w:val="clear" w:color="auto" w:fill="FDE9D9" w:themeFill="accent6" w:themeFillTint="33"/>
          </w:tcPr>
          <w:p w14:paraId="23D27B34" w14:textId="77777777" w:rsidR="00FA2722" w:rsidRPr="004E730D" w:rsidRDefault="00FA2722" w:rsidP="00FA2722">
            <w:pPr>
              <w:jc w:val="center"/>
              <w:rPr>
                <w:sz w:val="22"/>
                <w:szCs w:val="22"/>
              </w:rPr>
            </w:pPr>
            <w:r w:rsidRPr="004E730D">
              <w:rPr>
                <w:sz w:val="22"/>
                <w:szCs w:val="22"/>
              </w:rPr>
              <w:t>±3</w:t>
            </w:r>
          </w:p>
        </w:tc>
        <w:tc>
          <w:tcPr>
            <w:tcW w:w="711" w:type="dxa"/>
            <w:shd w:val="clear" w:color="auto" w:fill="FDE9D9" w:themeFill="accent6" w:themeFillTint="33"/>
          </w:tcPr>
          <w:p w14:paraId="5CCD4A96" w14:textId="77777777" w:rsidR="00FA2722" w:rsidRPr="004E730D" w:rsidRDefault="00FA2722" w:rsidP="00FA2722">
            <w:pPr>
              <w:jc w:val="center"/>
              <w:rPr>
                <w:sz w:val="22"/>
                <w:szCs w:val="22"/>
              </w:rPr>
            </w:pPr>
            <w:r w:rsidRPr="004E730D">
              <w:rPr>
                <w:sz w:val="22"/>
                <w:szCs w:val="22"/>
              </w:rPr>
              <w:t>±3</w:t>
            </w:r>
          </w:p>
        </w:tc>
        <w:tc>
          <w:tcPr>
            <w:tcW w:w="657" w:type="dxa"/>
            <w:shd w:val="clear" w:color="auto" w:fill="FDE9D9" w:themeFill="accent6" w:themeFillTint="33"/>
          </w:tcPr>
          <w:p w14:paraId="4AB34E62" w14:textId="77777777" w:rsidR="00FA2722" w:rsidRPr="004E730D" w:rsidRDefault="00FA2722" w:rsidP="00FA2722">
            <w:pPr>
              <w:jc w:val="center"/>
              <w:rPr>
                <w:sz w:val="22"/>
                <w:szCs w:val="22"/>
              </w:rPr>
            </w:pPr>
            <w:r w:rsidRPr="004E730D">
              <w:rPr>
                <w:sz w:val="22"/>
                <w:szCs w:val="22"/>
              </w:rPr>
              <w:t>±3</w:t>
            </w:r>
          </w:p>
        </w:tc>
        <w:tc>
          <w:tcPr>
            <w:tcW w:w="705" w:type="dxa"/>
            <w:shd w:val="clear" w:color="auto" w:fill="FDE9D9" w:themeFill="accent6" w:themeFillTint="33"/>
          </w:tcPr>
          <w:p w14:paraId="5BD2E309" w14:textId="77777777" w:rsidR="00FA2722" w:rsidRPr="004E730D" w:rsidRDefault="00FA2722" w:rsidP="00FA2722">
            <w:pPr>
              <w:jc w:val="center"/>
              <w:rPr>
                <w:sz w:val="22"/>
                <w:szCs w:val="22"/>
              </w:rPr>
            </w:pPr>
            <w:r w:rsidRPr="004E730D">
              <w:rPr>
                <w:sz w:val="22"/>
                <w:szCs w:val="22"/>
              </w:rPr>
              <w:t>±3</w:t>
            </w:r>
          </w:p>
        </w:tc>
        <w:tc>
          <w:tcPr>
            <w:tcW w:w="705" w:type="dxa"/>
            <w:shd w:val="clear" w:color="auto" w:fill="FDE9D9" w:themeFill="accent6" w:themeFillTint="33"/>
          </w:tcPr>
          <w:p w14:paraId="445CBD84" w14:textId="77777777" w:rsidR="00FA2722" w:rsidRPr="004E730D" w:rsidRDefault="00FA2722" w:rsidP="00FA2722">
            <w:pPr>
              <w:jc w:val="center"/>
              <w:rPr>
                <w:sz w:val="22"/>
                <w:szCs w:val="22"/>
              </w:rPr>
            </w:pPr>
            <w:r w:rsidRPr="004E730D">
              <w:rPr>
                <w:sz w:val="22"/>
                <w:szCs w:val="22"/>
              </w:rPr>
              <w:t>±3</w:t>
            </w:r>
          </w:p>
        </w:tc>
        <w:tc>
          <w:tcPr>
            <w:tcW w:w="801" w:type="dxa"/>
            <w:shd w:val="clear" w:color="auto" w:fill="FDE9D9" w:themeFill="accent6" w:themeFillTint="33"/>
          </w:tcPr>
          <w:p w14:paraId="34DF4459" w14:textId="77777777" w:rsidR="00FA2722" w:rsidRPr="004E730D" w:rsidRDefault="00FA2722" w:rsidP="00FA2722">
            <w:pPr>
              <w:jc w:val="center"/>
              <w:rPr>
                <w:sz w:val="22"/>
                <w:szCs w:val="22"/>
              </w:rPr>
            </w:pPr>
            <w:r w:rsidRPr="004E730D">
              <w:rPr>
                <w:sz w:val="22"/>
                <w:szCs w:val="22"/>
              </w:rPr>
              <w:t>±3</w:t>
            </w:r>
          </w:p>
        </w:tc>
        <w:tc>
          <w:tcPr>
            <w:tcW w:w="801" w:type="dxa"/>
            <w:shd w:val="clear" w:color="auto" w:fill="FDE9D9" w:themeFill="accent6" w:themeFillTint="33"/>
          </w:tcPr>
          <w:p w14:paraId="3A889717" w14:textId="1D7C2451" w:rsidR="00FA2722" w:rsidRPr="004E730D" w:rsidRDefault="00FA2722" w:rsidP="00FA2722">
            <w:pPr>
              <w:jc w:val="center"/>
              <w:rPr>
                <w:sz w:val="22"/>
                <w:szCs w:val="22"/>
              </w:rPr>
            </w:pPr>
            <w:r w:rsidRPr="004E730D">
              <w:rPr>
                <w:sz w:val="22"/>
                <w:szCs w:val="22"/>
              </w:rPr>
              <w:t>±3</w:t>
            </w:r>
          </w:p>
        </w:tc>
        <w:tc>
          <w:tcPr>
            <w:tcW w:w="801" w:type="dxa"/>
            <w:shd w:val="clear" w:color="auto" w:fill="FDE9D9" w:themeFill="accent6" w:themeFillTint="33"/>
          </w:tcPr>
          <w:p w14:paraId="51624C1D" w14:textId="36CB1FF4" w:rsidR="00FA2722" w:rsidRPr="004E730D" w:rsidRDefault="00FA2722" w:rsidP="00FA2722">
            <w:pPr>
              <w:jc w:val="center"/>
              <w:rPr>
                <w:sz w:val="22"/>
                <w:szCs w:val="22"/>
              </w:rPr>
            </w:pPr>
            <w:r w:rsidRPr="004E730D">
              <w:rPr>
                <w:sz w:val="22"/>
                <w:szCs w:val="22"/>
              </w:rPr>
              <w:t>±3</w:t>
            </w:r>
          </w:p>
        </w:tc>
      </w:tr>
      <w:tr w:rsidR="00FA2722" w:rsidRPr="004E730D" w14:paraId="4D2BB3F9" w14:textId="430EC801" w:rsidTr="00F52AF8">
        <w:trPr>
          <w:jc w:val="center"/>
        </w:trPr>
        <w:tc>
          <w:tcPr>
            <w:tcW w:w="711" w:type="dxa"/>
            <w:shd w:val="clear" w:color="auto" w:fill="DAEEF3" w:themeFill="accent5" w:themeFillTint="33"/>
          </w:tcPr>
          <w:p w14:paraId="6C2B92A9" w14:textId="77777777" w:rsidR="00FA2722" w:rsidRPr="004E730D" w:rsidRDefault="00FA2722" w:rsidP="00FA2722">
            <w:pPr>
              <w:jc w:val="center"/>
              <w:rPr>
                <w:sz w:val="22"/>
                <w:szCs w:val="22"/>
              </w:rPr>
            </w:pPr>
            <w:r w:rsidRPr="004E730D">
              <w:rPr>
                <w:sz w:val="22"/>
                <w:szCs w:val="22"/>
              </w:rPr>
              <w:t>4</w:t>
            </w:r>
          </w:p>
        </w:tc>
        <w:tc>
          <w:tcPr>
            <w:tcW w:w="771" w:type="dxa"/>
            <w:shd w:val="clear" w:color="auto" w:fill="FDE9D9" w:themeFill="accent6" w:themeFillTint="33"/>
          </w:tcPr>
          <w:p w14:paraId="5EA65833" w14:textId="77777777" w:rsidR="00FA2722" w:rsidRPr="004E730D" w:rsidRDefault="00FA2722" w:rsidP="00FA2722">
            <w:pPr>
              <w:jc w:val="center"/>
              <w:rPr>
                <w:sz w:val="22"/>
                <w:szCs w:val="22"/>
              </w:rPr>
            </w:pPr>
            <w:r w:rsidRPr="004E730D">
              <w:rPr>
                <w:sz w:val="22"/>
                <w:szCs w:val="22"/>
              </w:rPr>
              <w:t>±4</w:t>
            </w:r>
          </w:p>
        </w:tc>
        <w:tc>
          <w:tcPr>
            <w:tcW w:w="711" w:type="dxa"/>
            <w:shd w:val="clear" w:color="auto" w:fill="FDE9D9" w:themeFill="accent6" w:themeFillTint="33"/>
          </w:tcPr>
          <w:p w14:paraId="2E9291A4" w14:textId="77777777" w:rsidR="00FA2722" w:rsidRPr="004E730D" w:rsidRDefault="00FA2722" w:rsidP="00FA2722">
            <w:pPr>
              <w:jc w:val="center"/>
              <w:rPr>
                <w:sz w:val="22"/>
                <w:szCs w:val="22"/>
              </w:rPr>
            </w:pPr>
            <w:r w:rsidRPr="004E730D">
              <w:rPr>
                <w:sz w:val="22"/>
                <w:szCs w:val="22"/>
              </w:rPr>
              <w:t>-</w:t>
            </w:r>
          </w:p>
        </w:tc>
        <w:tc>
          <w:tcPr>
            <w:tcW w:w="657" w:type="dxa"/>
            <w:shd w:val="clear" w:color="auto" w:fill="FDE9D9" w:themeFill="accent6" w:themeFillTint="33"/>
          </w:tcPr>
          <w:p w14:paraId="47EA16BF" w14:textId="77777777" w:rsidR="00FA2722" w:rsidRPr="004E730D" w:rsidRDefault="00FA2722" w:rsidP="00FA2722">
            <w:pPr>
              <w:jc w:val="center"/>
              <w:rPr>
                <w:sz w:val="22"/>
                <w:szCs w:val="22"/>
              </w:rPr>
            </w:pPr>
            <w:r w:rsidRPr="004E730D">
              <w:rPr>
                <w:sz w:val="22"/>
                <w:szCs w:val="22"/>
              </w:rPr>
              <w:t>-</w:t>
            </w:r>
          </w:p>
        </w:tc>
        <w:tc>
          <w:tcPr>
            <w:tcW w:w="705" w:type="dxa"/>
            <w:shd w:val="clear" w:color="auto" w:fill="FDE9D9" w:themeFill="accent6" w:themeFillTint="33"/>
          </w:tcPr>
          <w:p w14:paraId="7A7772E0" w14:textId="77777777" w:rsidR="00FA2722" w:rsidRPr="004E730D" w:rsidRDefault="00FA2722" w:rsidP="00FA2722">
            <w:pPr>
              <w:jc w:val="center"/>
              <w:rPr>
                <w:sz w:val="22"/>
                <w:szCs w:val="22"/>
              </w:rPr>
            </w:pPr>
            <w:r w:rsidRPr="004E730D">
              <w:rPr>
                <w:sz w:val="22"/>
                <w:szCs w:val="22"/>
              </w:rPr>
              <w:t>±4</w:t>
            </w:r>
          </w:p>
        </w:tc>
        <w:tc>
          <w:tcPr>
            <w:tcW w:w="705" w:type="dxa"/>
            <w:shd w:val="clear" w:color="auto" w:fill="FDE9D9" w:themeFill="accent6" w:themeFillTint="33"/>
          </w:tcPr>
          <w:p w14:paraId="537F053E" w14:textId="77777777" w:rsidR="00FA2722" w:rsidRPr="004E730D" w:rsidRDefault="00FA2722" w:rsidP="00FA2722">
            <w:pPr>
              <w:jc w:val="center"/>
              <w:rPr>
                <w:sz w:val="22"/>
                <w:szCs w:val="22"/>
              </w:rPr>
            </w:pPr>
            <w:r w:rsidRPr="004E730D">
              <w:rPr>
                <w:sz w:val="22"/>
                <w:szCs w:val="22"/>
              </w:rPr>
              <w:t>-</w:t>
            </w:r>
          </w:p>
        </w:tc>
        <w:tc>
          <w:tcPr>
            <w:tcW w:w="801" w:type="dxa"/>
            <w:shd w:val="clear" w:color="auto" w:fill="FDE9D9" w:themeFill="accent6" w:themeFillTint="33"/>
          </w:tcPr>
          <w:p w14:paraId="4AF8FDC1" w14:textId="77777777" w:rsidR="00FA2722" w:rsidRPr="004E730D" w:rsidRDefault="00FA2722" w:rsidP="00FA2722">
            <w:pPr>
              <w:jc w:val="center"/>
              <w:rPr>
                <w:sz w:val="22"/>
                <w:szCs w:val="22"/>
              </w:rPr>
            </w:pPr>
            <w:r w:rsidRPr="004E730D">
              <w:rPr>
                <w:sz w:val="22"/>
                <w:szCs w:val="22"/>
              </w:rPr>
              <w:t>-</w:t>
            </w:r>
          </w:p>
        </w:tc>
        <w:tc>
          <w:tcPr>
            <w:tcW w:w="801" w:type="dxa"/>
            <w:shd w:val="clear" w:color="auto" w:fill="FDE9D9" w:themeFill="accent6" w:themeFillTint="33"/>
          </w:tcPr>
          <w:p w14:paraId="523DAC9C" w14:textId="3E89F0F9" w:rsidR="00FA2722" w:rsidRPr="004E730D" w:rsidRDefault="00FA2722" w:rsidP="00FA2722">
            <w:pPr>
              <w:jc w:val="center"/>
              <w:rPr>
                <w:sz w:val="22"/>
                <w:szCs w:val="22"/>
              </w:rPr>
            </w:pPr>
            <w:r w:rsidRPr="004E730D">
              <w:rPr>
                <w:sz w:val="22"/>
                <w:szCs w:val="22"/>
              </w:rPr>
              <w:t>-</w:t>
            </w:r>
          </w:p>
        </w:tc>
        <w:tc>
          <w:tcPr>
            <w:tcW w:w="801" w:type="dxa"/>
            <w:shd w:val="clear" w:color="auto" w:fill="FDE9D9" w:themeFill="accent6" w:themeFillTint="33"/>
          </w:tcPr>
          <w:p w14:paraId="291BB58B" w14:textId="2995A53D" w:rsidR="00FA2722" w:rsidRPr="004E730D" w:rsidRDefault="00FA2722" w:rsidP="00FA2722">
            <w:pPr>
              <w:jc w:val="center"/>
              <w:rPr>
                <w:sz w:val="22"/>
                <w:szCs w:val="22"/>
              </w:rPr>
            </w:pPr>
            <w:r w:rsidRPr="004E730D">
              <w:rPr>
                <w:sz w:val="22"/>
                <w:szCs w:val="22"/>
              </w:rPr>
              <w:t>-</w:t>
            </w:r>
          </w:p>
        </w:tc>
      </w:tr>
      <w:tr w:rsidR="00FA2722" w:rsidRPr="004E730D" w14:paraId="17DE70BE" w14:textId="27104D8B" w:rsidTr="00F52AF8">
        <w:trPr>
          <w:jc w:val="center"/>
        </w:trPr>
        <w:tc>
          <w:tcPr>
            <w:tcW w:w="711" w:type="dxa"/>
            <w:shd w:val="clear" w:color="auto" w:fill="DAEEF3" w:themeFill="accent5" w:themeFillTint="33"/>
          </w:tcPr>
          <w:p w14:paraId="20A42FA6" w14:textId="77777777" w:rsidR="00FA2722" w:rsidRPr="004E730D" w:rsidRDefault="00FA2722" w:rsidP="00FA2722">
            <w:pPr>
              <w:jc w:val="center"/>
              <w:rPr>
                <w:sz w:val="22"/>
                <w:szCs w:val="22"/>
              </w:rPr>
            </w:pPr>
            <w:r w:rsidRPr="004E730D">
              <w:rPr>
                <w:sz w:val="22"/>
                <w:szCs w:val="22"/>
              </w:rPr>
              <w:t>5,6</w:t>
            </w:r>
          </w:p>
        </w:tc>
        <w:tc>
          <w:tcPr>
            <w:tcW w:w="771" w:type="dxa"/>
            <w:shd w:val="clear" w:color="auto" w:fill="FDE9D9" w:themeFill="accent6" w:themeFillTint="33"/>
          </w:tcPr>
          <w:p w14:paraId="55C4C520" w14:textId="77777777" w:rsidR="00FA2722" w:rsidRPr="004E730D" w:rsidRDefault="00FA2722" w:rsidP="00FA2722">
            <w:pPr>
              <w:jc w:val="center"/>
              <w:rPr>
                <w:sz w:val="22"/>
                <w:szCs w:val="22"/>
              </w:rPr>
            </w:pPr>
            <w:r w:rsidRPr="004E730D">
              <w:rPr>
                <w:sz w:val="22"/>
                <w:szCs w:val="22"/>
              </w:rPr>
              <w:t>-</w:t>
            </w:r>
          </w:p>
        </w:tc>
        <w:tc>
          <w:tcPr>
            <w:tcW w:w="711" w:type="dxa"/>
            <w:shd w:val="clear" w:color="auto" w:fill="FDE9D9" w:themeFill="accent6" w:themeFillTint="33"/>
          </w:tcPr>
          <w:p w14:paraId="78CB43F3" w14:textId="77777777" w:rsidR="00FA2722" w:rsidRPr="004E730D" w:rsidRDefault="00FA2722" w:rsidP="00FA2722">
            <w:pPr>
              <w:jc w:val="center"/>
              <w:rPr>
                <w:sz w:val="22"/>
                <w:szCs w:val="22"/>
              </w:rPr>
            </w:pPr>
            <w:r w:rsidRPr="004E730D">
              <w:rPr>
                <w:sz w:val="22"/>
                <w:szCs w:val="22"/>
              </w:rPr>
              <w:t>±4</w:t>
            </w:r>
          </w:p>
        </w:tc>
        <w:tc>
          <w:tcPr>
            <w:tcW w:w="657" w:type="dxa"/>
            <w:shd w:val="clear" w:color="auto" w:fill="FDE9D9" w:themeFill="accent6" w:themeFillTint="33"/>
          </w:tcPr>
          <w:p w14:paraId="28FAADA0" w14:textId="77777777" w:rsidR="00FA2722" w:rsidRPr="004E730D" w:rsidRDefault="00FA2722" w:rsidP="00FA2722">
            <w:pPr>
              <w:jc w:val="center"/>
              <w:rPr>
                <w:sz w:val="22"/>
                <w:szCs w:val="22"/>
              </w:rPr>
            </w:pPr>
            <w:r w:rsidRPr="004E730D">
              <w:rPr>
                <w:sz w:val="22"/>
                <w:szCs w:val="22"/>
              </w:rPr>
              <w:t>-</w:t>
            </w:r>
          </w:p>
        </w:tc>
        <w:tc>
          <w:tcPr>
            <w:tcW w:w="705" w:type="dxa"/>
            <w:shd w:val="clear" w:color="auto" w:fill="FDE9D9" w:themeFill="accent6" w:themeFillTint="33"/>
          </w:tcPr>
          <w:p w14:paraId="33E39FC7" w14:textId="77777777" w:rsidR="00FA2722" w:rsidRPr="004E730D" w:rsidRDefault="00FA2722" w:rsidP="00FA2722">
            <w:pPr>
              <w:jc w:val="center"/>
              <w:rPr>
                <w:sz w:val="22"/>
                <w:szCs w:val="22"/>
              </w:rPr>
            </w:pPr>
            <w:r w:rsidRPr="004E730D">
              <w:rPr>
                <w:sz w:val="22"/>
                <w:szCs w:val="22"/>
              </w:rPr>
              <w:t>-</w:t>
            </w:r>
          </w:p>
        </w:tc>
        <w:tc>
          <w:tcPr>
            <w:tcW w:w="705" w:type="dxa"/>
            <w:shd w:val="clear" w:color="auto" w:fill="FDE9D9" w:themeFill="accent6" w:themeFillTint="33"/>
          </w:tcPr>
          <w:p w14:paraId="3E75682A" w14:textId="77777777" w:rsidR="00FA2722" w:rsidRPr="004E730D" w:rsidRDefault="00FA2722" w:rsidP="00FA2722">
            <w:pPr>
              <w:jc w:val="center"/>
              <w:rPr>
                <w:sz w:val="22"/>
                <w:szCs w:val="22"/>
              </w:rPr>
            </w:pPr>
            <w:r w:rsidRPr="004E730D">
              <w:rPr>
                <w:sz w:val="22"/>
                <w:szCs w:val="22"/>
              </w:rPr>
              <w:t>±4</w:t>
            </w:r>
          </w:p>
        </w:tc>
        <w:tc>
          <w:tcPr>
            <w:tcW w:w="801" w:type="dxa"/>
            <w:shd w:val="clear" w:color="auto" w:fill="FDE9D9" w:themeFill="accent6" w:themeFillTint="33"/>
          </w:tcPr>
          <w:p w14:paraId="3929E90D" w14:textId="77777777" w:rsidR="00FA2722" w:rsidRPr="004E730D" w:rsidRDefault="00FA2722" w:rsidP="00FA2722">
            <w:pPr>
              <w:jc w:val="center"/>
              <w:rPr>
                <w:sz w:val="22"/>
                <w:szCs w:val="22"/>
              </w:rPr>
            </w:pPr>
            <w:r w:rsidRPr="004E730D">
              <w:rPr>
                <w:sz w:val="22"/>
                <w:szCs w:val="22"/>
              </w:rPr>
              <w:t>-</w:t>
            </w:r>
          </w:p>
        </w:tc>
        <w:tc>
          <w:tcPr>
            <w:tcW w:w="801" w:type="dxa"/>
            <w:shd w:val="clear" w:color="auto" w:fill="FDE9D9" w:themeFill="accent6" w:themeFillTint="33"/>
          </w:tcPr>
          <w:p w14:paraId="474A85E2" w14:textId="4CEE471D" w:rsidR="00FA2722" w:rsidRPr="004E730D" w:rsidRDefault="00FA2722" w:rsidP="00FA2722">
            <w:pPr>
              <w:jc w:val="center"/>
              <w:rPr>
                <w:sz w:val="22"/>
                <w:szCs w:val="22"/>
              </w:rPr>
            </w:pPr>
            <w:r w:rsidRPr="004E730D">
              <w:rPr>
                <w:sz w:val="22"/>
                <w:szCs w:val="22"/>
              </w:rPr>
              <w:t>-</w:t>
            </w:r>
          </w:p>
        </w:tc>
        <w:tc>
          <w:tcPr>
            <w:tcW w:w="801" w:type="dxa"/>
            <w:shd w:val="clear" w:color="auto" w:fill="FDE9D9" w:themeFill="accent6" w:themeFillTint="33"/>
          </w:tcPr>
          <w:p w14:paraId="377BA23E" w14:textId="6CF0E794" w:rsidR="00FA2722" w:rsidRPr="004E730D" w:rsidRDefault="00FA2722" w:rsidP="00FA2722">
            <w:pPr>
              <w:jc w:val="center"/>
              <w:rPr>
                <w:sz w:val="22"/>
                <w:szCs w:val="22"/>
              </w:rPr>
            </w:pPr>
            <w:r w:rsidRPr="004E730D">
              <w:rPr>
                <w:sz w:val="22"/>
                <w:szCs w:val="22"/>
              </w:rPr>
              <w:t>-</w:t>
            </w:r>
          </w:p>
        </w:tc>
      </w:tr>
      <w:tr w:rsidR="00FA2722" w:rsidRPr="004E730D" w14:paraId="7FD98FF3" w14:textId="1D0BE8B6" w:rsidTr="00F52AF8">
        <w:trPr>
          <w:jc w:val="center"/>
        </w:trPr>
        <w:tc>
          <w:tcPr>
            <w:tcW w:w="711" w:type="dxa"/>
            <w:shd w:val="clear" w:color="auto" w:fill="DAEEF3" w:themeFill="accent5" w:themeFillTint="33"/>
          </w:tcPr>
          <w:p w14:paraId="4B97D468" w14:textId="77777777" w:rsidR="00FA2722" w:rsidRPr="004E730D" w:rsidRDefault="00FA2722" w:rsidP="00FA2722">
            <w:pPr>
              <w:jc w:val="center"/>
              <w:rPr>
                <w:sz w:val="22"/>
                <w:szCs w:val="22"/>
              </w:rPr>
            </w:pPr>
            <w:r w:rsidRPr="004E730D">
              <w:rPr>
                <w:sz w:val="22"/>
                <w:szCs w:val="22"/>
              </w:rPr>
              <w:t>8</w:t>
            </w:r>
          </w:p>
        </w:tc>
        <w:tc>
          <w:tcPr>
            <w:tcW w:w="771" w:type="dxa"/>
            <w:shd w:val="clear" w:color="auto" w:fill="FDE9D9" w:themeFill="accent6" w:themeFillTint="33"/>
          </w:tcPr>
          <w:p w14:paraId="1ABC7A24" w14:textId="77777777" w:rsidR="00FA2722" w:rsidRPr="004E730D" w:rsidRDefault="00FA2722" w:rsidP="00FA2722">
            <w:pPr>
              <w:jc w:val="center"/>
              <w:rPr>
                <w:sz w:val="22"/>
                <w:szCs w:val="22"/>
              </w:rPr>
            </w:pPr>
            <w:r w:rsidRPr="004E730D">
              <w:rPr>
                <w:sz w:val="22"/>
                <w:szCs w:val="22"/>
              </w:rPr>
              <w:t>±4</w:t>
            </w:r>
          </w:p>
        </w:tc>
        <w:tc>
          <w:tcPr>
            <w:tcW w:w="711" w:type="dxa"/>
            <w:shd w:val="clear" w:color="auto" w:fill="FDE9D9" w:themeFill="accent6" w:themeFillTint="33"/>
          </w:tcPr>
          <w:p w14:paraId="4BA6812F" w14:textId="77777777" w:rsidR="00FA2722" w:rsidRPr="004E730D" w:rsidRDefault="00FA2722" w:rsidP="00FA2722">
            <w:pPr>
              <w:jc w:val="center"/>
              <w:rPr>
                <w:sz w:val="22"/>
                <w:szCs w:val="22"/>
              </w:rPr>
            </w:pPr>
            <w:r w:rsidRPr="004E730D">
              <w:rPr>
                <w:sz w:val="22"/>
                <w:szCs w:val="22"/>
              </w:rPr>
              <w:t>-</w:t>
            </w:r>
          </w:p>
        </w:tc>
        <w:tc>
          <w:tcPr>
            <w:tcW w:w="657" w:type="dxa"/>
            <w:shd w:val="clear" w:color="auto" w:fill="FDE9D9" w:themeFill="accent6" w:themeFillTint="33"/>
          </w:tcPr>
          <w:p w14:paraId="4DB6B433" w14:textId="77777777" w:rsidR="00FA2722" w:rsidRPr="004E730D" w:rsidRDefault="00FA2722" w:rsidP="00FA2722">
            <w:pPr>
              <w:jc w:val="center"/>
              <w:rPr>
                <w:sz w:val="22"/>
                <w:szCs w:val="22"/>
              </w:rPr>
            </w:pPr>
            <w:r w:rsidRPr="004E730D">
              <w:rPr>
                <w:sz w:val="22"/>
                <w:szCs w:val="22"/>
              </w:rPr>
              <w:t>±4</w:t>
            </w:r>
          </w:p>
        </w:tc>
        <w:tc>
          <w:tcPr>
            <w:tcW w:w="705" w:type="dxa"/>
            <w:shd w:val="clear" w:color="auto" w:fill="FDE9D9" w:themeFill="accent6" w:themeFillTint="33"/>
          </w:tcPr>
          <w:p w14:paraId="752BF758" w14:textId="77777777" w:rsidR="00FA2722" w:rsidRPr="004E730D" w:rsidRDefault="00FA2722" w:rsidP="00FA2722">
            <w:pPr>
              <w:jc w:val="center"/>
              <w:rPr>
                <w:sz w:val="22"/>
                <w:szCs w:val="22"/>
              </w:rPr>
            </w:pPr>
            <w:r w:rsidRPr="004E730D">
              <w:rPr>
                <w:sz w:val="22"/>
                <w:szCs w:val="22"/>
              </w:rPr>
              <w:t>±4</w:t>
            </w:r>
          </w:p>
        </w:tc>
        <w:tc>
          <w:tcPr>
            <w:tcW w:w="705" w:type="dxa"/>
            <w:shd w:val="clear" w:color="auto" w:fill="FDE9D9" w:themeFill="accent6" w:themeFillTint="33"/>
          </w:tcPr>
          <w:p w14:paraId="32BCDD9C" w14:textId="77777777" w:rsidR="00FA2722" w:rsidRPr="004E730D" w:rsidRDefault="00FA2722" w:rsidP="00FA2722">
            <w:pPr>
              <w:jc w:val="center"/>
              <w:rPr>
                <w:sz w:val="22"/>
                <w:szCs w:val="22"/>
              </w:rPr>
            </w:pPr>
            <w:r w:rsidRPr="004E730D">
              <w:rPr>
                <w:sz w:val="22"/>
                <w:szCs w:val="22"/>
              </w:rPr>
              <w:t>-</w:t>
            </w:r>
          </w:p>
        </w:tc>
        <w:tc>
          <w:tcPr>
            <w:tcW w:w="801" w:type="dxa"/>
            <w:shd w:val="clear" w:color="auto" w:fill="FDE9D9" w:themeFill="accent6" w:themeFillTint="33"/>
          </w:tcPr>
          <w:p w14:paraId="128E8038" w14:textId="77777777" w:rsidR="00FA2722" w:rsidRPr="004E730D" w:rsidRDefault="00FA2722" w:rsidP="00FA2722">
            <w:pPr>
              <w:jc w:val="center"/>
              <w:rPr>
                <w:sz w:val="22"/>
                <w:szCs w:val="22"/>
              </w:rPr>
            </w:pPr>
            <w:r w:rsidRPr="004E730D">
              <w:rPr>
                <w:sz w:val="22"/>
                <w:szCs w:val="22"/>
              </w:rPr>
              <w:t>±4</w:t>
            </w:r>
          </w:p>
        </w:tc>
        <w:tc>
          <w:tcPr>
            <w:tcW w:w="801" w:type="dxa"/>
            <w:shd w:val="clear" w:color="auto" w:fill="FDE9D9" w:themeFill="accent6" w:themeFillTint="33"/>
          </w:tcPr>
          <w:p w14:paraId="205AB601" w14:textId="6C2B0863" w:rsidR="00FA2722" w:rsidRPr="004E730D" w:rsidRDefault="00FA2722" w:rsidP="00FA2722">
            <w:pPr>
              <w:jc w:val="center"/>
              <w:rPr>
                <w:sz w:val="22"/>
                <w:szCs w:val="22"/>
              </w:rPr>
            </w:pPr>
            <w:r w:rsidRPr="004E730D">
              <w:rPr>
                <w:sz w:val="22"/>
                <w:szCs w:val="22"/>
              </w:rPr>
              <w:t>±4</w:t>
            </w:r>
          </w:p>
        </w:tc>
        <w:tc>
          <w:tcPr>
            <w:tcW w:w="801" w:type="dxa"/>
            <w:shd w:val="clear" w:color="auto" w:fill="FDE9D9" w:themeFill="accent6" w:themeFillTint="33"/>
          </w:tcPr>
          <w:p w14:paraId="6CEB4CD4" w14:textId="2335A4AC" w:rsidR="00FA2722" w:rsidRPr="004E730D" w:rsidRDefault="00FA2722" w:rsidP="00FA2722">
            <w:pPr>
              <w:jc w:val="center"/>
              <w:rPr>
                <w:sz w:val="22"/>
                <w:szCs w:val="22"/>
              </w:rPr>
            </w:pPr>
            <w:r>
              <w:rPr>
                <w:sz w:val="22"/>
                <w:szCs w:val="22"/>
              </w:rPr>
              <w:t>-</w:t>
            </w:r>
          </w:p>
        </w:tc>
      </w:tr>
      <w:tr w:rsidR="00FA2722" w:rsidRPr="004E730D" w14:paraId="202D7E4F" w14:textId="19EF627F" w:rsidTr="00F52AF8">
        <w:trPr>
          <w:jc w:val="center"/>
        </w:trPr>
        <w:tc>
          <w:tcPr>
            <w:tcW w:w="711" w:type="dxa"/>
            <w:shd w:val="clear" w:color="auto" w:fill="DAEEF3" w:themeFill="accent5" w:themeFillTint="33"/>
          </w:tcPr>
          <w:p w14:paraId="5874528A" w14:textId="77777777" w:rsidR="00FA2722" w:rsidRPr="004E730D" w:rsidRDefault="00FA2722" w:rsidP="00FA2722">
            <w:pPr>
              <w:jc w:val="center"/>
              <w:rPr>
                <w:sz w:val="22"/>
                <w:szCs w:val="22"/>
              </w:rPr>
            </w:pPr>
            <w:r w:rsidRPr="004E730D">
              <w:rPr>
                <w:sz w:val="22"/>
                <w:szCs w:val="22"/>
              </w:rPr>
              <w:t>11</w:t>
            </w:r>
          </w:p>
        </w:tc>
        <w:tc>
          <w:tcPr>
            <w:tcW w:w="771" w:type="dxa"/>
            <w:shd w:val="clear" w:color="auto" w:fill="FDE9D9" w:themeFill="accent6" w:themeFillTint="33"/>
          </w:tcPr>
          <w:p w14:paraId="018F5C51" w14:textId="7A445979" w:rsidR="00FA2722" w:rsidRPr="004E730D" w:rsidRDefault="00FA2722" w:rsidP="00FA2722">
            <w:pPr>
              <w:jc w:val="center"/>
              <w:rPr>
                <w:sz w:val="22"/>
                <w:szCs w:val="22"/>
              </w:rPr>
            </w:pPr>
            <w:r w:rsidRPr="004E730D">
              <w:rPr>
                <w:sz w:val="22"/>
                <w:szCs w:val="22"/>
              </w:rPr>
              <w:t>-2</w:t>
            </w:r>
            <w:r>
              <w:rPr>
                <w:sz w:val="22"/>
                <w:szCs w:val="22"/>
              </w:rPr>
              <w:t>*</w:t>
            </w:r>
          </w:p>
        </w:tc>
        <w:tc>
          <w:tcPr>
            <w:tcW w:w="711" w:type="dxa"/>
            <w:shd w:val="clear" w:color="auto" w:fill="FDE9D9" w:themeFill="accent6" w:themeFillTint="33"/>
          </w:tcPr>
          <w:p w14:paraId="73D53D47" w14:textId="77777777" w:rsidR="00FA2722" w:rsidRPr="004E730D" w:rsidRDefault="00FA2722" w:rsidP="00FA2722">
            <w:pPr>
              <w:jc w:val="center"/>
              <w:rPr>
                <w:sz w:val="22"/>
                <w:szCs w:val="22"/>
              </w:rPr>
            </w:pPr>
            <w:r w:rsidRPr="004E730D">
              <w:rPr>
                <w:sz w:val="22"/>
                <w:szCs w:val="22"/>
              </w:rPr>
              <w:t>±4</w:t>
            </w:r>
          </w:p>
        </w:tc>
        <w:tc>
          <w:tcPr>
            <w:tcW w:w="657" w:type="dxa"/>
            <w:shd w:val="clear" w:color="auto" w:fill="FDE9D9" w:themeFill="accent6" w:themeFillTint="33"/>
          </w:tcPr>
          <w:p w14:paraId="569CD34A" w14:textId="77777777" w:rsidR="00FA2722" w:rsidRPr="004E730D" w:rsidRDefault="00FA2722" w:rsidP="00FA2722">
            <w:pPr>
              <w:jc w:val="center"/>
              <w:rPr>
                <w:sz w:val="22"/>
                <w:szCs w:val="22"/>
              </w:rPr>
            </w:pPr>
            <w:r w:rsidRPr="004E730D">
              <w:rPr>
                <w:sz w:val="22"/>
                <w:szCs w:val="22"/>
              </w:rPr>
              <w:t>-</w:t>
            </w:r>
          </w:p>
        </w:tc>
        <w:tc>
          <w:tcPr>
            <w:tcW w:w="705" w:type="dxa"/>
            <w:shd w:val="clear" w:color="auto" w:fill="FDE9D9" w:themeFill="accent6" w:themeFillTint="33"/>
          </w:tcPr>
          <w:p w14:paraId="5962A50F" w14:textId="19012C07" w:rsidR="00FA2722" w:rsidRPr="004E730D" w:rsidRDefault="00FA2722" w:rsidP="00FA2722">
            <w:pPr>
              <w:jc w:val="center"/>
              <w:rPr>
                <w:sz w:val="22"/>
                <w:szCs w:val="22"/>
              </w:rPr>
            </w:pPr>
            <w:r w:rsidRPr="004E730D">
              <w:rPr>
                <w:sz w:val="22"/>
                <w:szCs w:val="22"/>
              </w:rPr>
              <w:t>-2</w:t>
            </w:r>
            <w:r>
              <w:rPr>
                <w:sz w:val="22"/>
                <w:szCs w:val="22"/>
              </w:rPr>
              <w:t>*</w:t>
            </w:r>
          </w:p>
        </w:tc>
        <w:tc>
          <w:tcPr>
            <w:tcW w:w="705" w:type="dxa"/>
            <w:shd w:val="clear" w:color="auto" w:fill="FDE9D9" w:themeFill="accent6" w:themeFillTint="33"/>
          </w:tcPr>
          <w:p w14:paraId="38630EDC" w14:textId="77777777" w:rsidR="00FA2722" w:rsidRPr="004E730D" w:rsidRDefault="00FA2722" w:rsidP="00FA2722">
            <w:pPr>
              <w:jc w:val="center"/>
              <w:rPr>
                <w:sz w:val="22"/>
                <w:szCs w:val="22"/>
              </w:rPr>
            </w:pPr>
            <w:r w:rsidRPr="004E730D">
              <w:rPr>
                <w:sz w:val="22"/>
                <w:szCs w:val="22"/>
              </w:rPr>
              <w:t>±4</w:t>
            </w:r>
          </w:p>
        </w:tc>
        <w:tc>
          <w:tcPr>
            <w:tcW w:w="801" w:type="dxa"/>
            <w:shd w:val="clear" w:color="auto" w:fill="FDE9D9" w:themeFill="accent6" w:themeFillTint="33"/>
          </w:tcPr>
          <w:p w14:paraId="4B3DE2AA" w14:textId="77777777" w:rsidR="00FA2722" w:rsidRPr="004E730D" w:rsidRDefault="00FA2722" w:rsidP="00FA2722">
            <w:pPr>
              <w:jc w:val="center"/>
              <w:rPr>
                <w:sz w:val="22"/>
                <w:szCs w:val="22"/>
              </w:rPr>
            </w:pPr>
            <w:r w:rsidRPr="004E730D">
              <w:rPr>
                <w:sz w:val="22"/>
                <w:szCs w:val="22"/>
              </w:rPr>
              <w:t>-</w:t>
            </w:r>
          </w:p>
        </w:tc>
        <w:tc>
          <w:tcPr>
            <w:tcW w:w="801" w:type="dxa"/>
            <w:shd w:val="clear" w:color="auto" w:fill="FDE9D9" w:themeFill="accent6" w:themeFillTint="33"/>
          </w:tcPr>
          <w:p w14:paraId="03D5200E" w14:textId="49EDAA89" w:rsidR="00FA2722" w:rsidRPr="004E730D" w:rsidRDefault="00FA2722" w:rsidP="00FA2722">
            <w:pPr>
              <w:jc w:val="center"/>
              <w:rPr>
                <w:sz w:val="22"/>
                <w:szCs w:val="22"/>
              </w:rPr>
            </w:pPr>
            <w:r w:rsidRPr="004E730D">
              <w:rPr>
                <w:sz w:val="22"/>
                <w:szCs w:val="22"/>
              </w:rPr>
              <w:t>-</w:t>
            </w:r>
          </w:p>
        </w:tc>
        <w:tc>
          <w:tcPr>
            <w:tcW w:w="801" w:type="dxa"/>
            <w:shd w:val="clear" w:color="auto" w:fill="FDE9D9" w:themeFill="accent6" w:themeFillTint="33"/>
          </w:tcPr>
          <w:p w14:paraId="0FA250D2" w14:textId="6EB8537F" w:rsidR="00FA2722" w:rsidRPr="004E730D" w:rsidRDefault="00FA2722" w:rsidP="00FA2722">
            <w:pPr>
              <w:jc w:val="center"/>
              <w:rPr>
                <w:sz w:val="22"/>
                <w:szCs w:val="22"/>
              </w:rPr>
            </w:pPr>
            <w:r w:rsidRPr="004E730D">
              <w:rPr>
                <w:sz w:val="22"/>
                <w:szCs w:val="22"/>
              </w:rPr>
              <w:t>±4</w:t>
            </w:r>
          </w:p>
        </w:tc>
      </w:tr>
      <w:tr w:rsidR="00FA2722" w:rsidRPr="004E730D" w14:paraId="5FD6ADCD" w14:textId="610341FB" w:rsidTr="00F52AF8">
        <w:trPr>
          <w:jc w:val="center"/>
        </w:trPr>
        <w:tc>
          <w:tcPr>
            <w:tcW w:w="711" w:type="dxa"/>
            <w:shd w:val="clear" w:color="auto" w:fill="DAEEF3" w:themeFill="accent5" w:themeFillTint="33"/>
          </w:tcPr>
          <w:p w14:paraId="0C535B6B" w14:textId="77777777" w:rsidR="00FA2722" w:rsidRPr="004E730D" w:rsidRDefault="00FA2722" w:rsidP="00FA2722">
            <w:pPr>
              <w:jc w:val="center"/>
              <w:rPr>
                <w:sz w:val="22"/>
                <w:szCs w:val="22"/>
              </w:rPr>
            </w:pPr>
            <w:r w:rsidRPr="004E730D">
              <w:rPr>
                <w:sz w:val="22"/>
                <w:szCs w:val="22"/>
              </w:rPr>
              <w:t>16</w:t>
            </w:r>
          </w:p>
        </w:tc>
        <w:tc>
          <w:tcPr>
            <w:tcW w:w="771" w:type="dxa"/>
            <w:shd w:val="clear" w:color="auto" w:fill="FDE9D9" w:themeFill="accent6" w:themeFillTint="33"/>
          </w:tcPr>
          <w:p w14:paraId="74E6CC9E" w14:textId="77777777" w:rsidR="00FA2722" w:rsidRPr="004E730D" w:rsidRDefault="00FA2722" w:rsidP="00FA2722">
            <w:pPr>
              <w:jc w:val="center"/>
              <w:rPr>
                <w:sz w:val="22"/>
                <w:szCs w:val="22"/>
              </w:rPr>
            </w:pPr>
          </w:p>
        </w:tc>
        <w:tc>
          <w:tcPr>
            <w:tcW w:w="711" w:type="dxa"/>
            <w:shd w:val="clear" w:color="auto" w:fill="FDE9D9" w:themeFill="accent6" w:themeFillTint="33"/>
          </w:tcPr>
          <w:p w14:paraId="5544C4CE" w14:textId="2B296CD2" w:rsidR="00FA2722" w:rsidRPr="004E730D" w:rsidRDefault="00FA2722" w:rsidP="00FA2722">
            <w:pPr>
              <w:jc w:val="center"/>
              <w:rPr>
                <w:sz w:val="22"/>
                <w:szCs w:val="22"/>
              </w:rPr>
            </w:pPr>
            <w:r w:rsidRPr="004E730D">
              <w:rPr>
                <w:sz w:val="22"/>
                <w:szCs w:val="22"/>
              </w:rPr>
              <w:t>-2</w:t>
            </w:r>
            <w:r>
              <w:rPr>
                <w:sz w:val="22"/>
                <w:szCs w:val="22"/>
              </w:rPr>
              <w:t>*</w:t>
            </w:r>
          </w:p>
        </w:tc>
        <w:tc>
          <w:tcPr>
            <w:tcW w:w="657" w:type="dxa"/>
            <w:shd w:val="clear" w:color="auto" w:fill="FDE9D9" w:themeFill="accent6" w:themeFillTint="33"/>
          </w:tcPr>
          <w:p w14:paraId="4A3EF2F8" w14:textId="77777777" w:rsidR="00FA2722" w:rsidRPr="004E730D" w:rsidRDefault="00FA2722" w:rsidP="00FA2722">
            <w:pPr>
              <w:jc w:val="center"/>
              <w:rPr>
                <w:sz w:val="22"/>
                <w:szCs w:val="22"/>
              </w:rPr>
            </w:pPr>
            <w:r w:rsidRPr="004E730D">
              <w:rPr>
                <w:sz w:val="22"/>
                <w:szCs w:val="22"/>
              </w:rPr>
              <w:t>±5</w:t>
            </w:r>
          </w:p>
        </w:tc>
        <w:tc>
          <w:tcPr>
            <w:tcW w:w="705" w:type="dxa"/>
            <w:shd w:val="clear" w:color="auto" w:fill="FDE9D9" w:themeFill="accent6" w:themeFillTint="33"/>
          </w:tcPr>
          <w:p w14:paraId="6BFBEFA7" w14:textId="77777777" w:rsidR="00FA2722" w:rsidRPr="004E730D" w:rsidRDefault="00FA2722" w:rsidP="00FA2722">
            <w:pPr>
              <w:jc w:val="center"/>
              <w:rPr>
                <w:sz w:val="22"/>
                <w:szCs w:val="22"/>
              </w:rPr>
            </w:pPr>
          </w:p>
        </w:tc>
        <w:tc>
          <w:tcPr>
            <w:tcW w:w="705" w:type="dxa"/>
            <w:shd w:val="clear" w:color="auto" w:fill="FDE9D9" w:themeFill="accent6" w:themeFillTint="33"/>
          </w:tcPr>
          <w:p w14:paraId="3B25D886" w14:textId="5D02C54F" w:rsidR="00FA2722" w:rsidRPr="004E730D" w:rsidRDefault="00FA2722" w:rsidP="00FA2722">
            <w:pPr>
              <w:jc w:val="center"/>
              <w:rPr>
                <w:sz w:val="22"/>
                <w:szCs w:val="22"/>
              </w:rPr>
            </w:pPr>
            <w:r w:rsidRPr="004E730D">
              <w:rPr>
                <w:sz w:val="22"/>
                <w:szCs w:val="22"/>
              </w:rPr>
              <w:t>-2</w:t>
            </w:r>
            <w:r>
              <w:rPr>
                <w:sz w:val="22"/>
                <w:szCs w:val="22"/>
              </w:rPr>
              <w:t>*</w:t>
            </w:r>
          </w:p>
        </w:tc>
        <w:tc>
          <w:tcPr>
            <w:tcW w:w="801" w:type="dxa"/>
            <w:shd w:val="clear" w:color="auto" w:fill="FDE9D9" w:themeFill="accent6" w:themeFillTint="33"/>
          </w:tcPr>
          <w:p w14:paraId="35F05416" w14:textId="77777777" w:rsidR="00FA2722" w:rsidRPr="004E730D" w:rsidRDefault="00FA2722" w:rsidP="00FA2722">
            <w:pPr>
              <w:jc w:val="center"/>
              <w:rPr>
                <w:sz w:val="22"/>
                <w:szCs w:val="22"/>
              </w:rPr>
            </w:pPr>
            <w:r w:rsidRPr="004E730D">
              <w:rPr>
                <w:sz w:val="22"/>
                <w:szCs w:val="22"/>
              </w:rPr>
              <w:t>±5</w:t>
            </w:r>
          </w:p>
        </w:tc>
        <w:tc>
          <w:tcPr>
            <w:tcW w:w="801" w:type="dxa"/>
            <w:shd w:val="clear" w:color="auto" w:fill="FDE9D9" w:themeFill="accent6" w:themeFillTint="33"/>
          </w:tcPr>
          <w:p w14:paraId="59C40462" w14:textId="3DB42B40" w:rsidR="00FA2722" w:rsidRPr="004E730D" w:rsidRDefault="00FA2722" w:rsidP="00FA2722">
            <w:pPr>
              <w:jc w:val="center"/>
              <w:rPr>
                <w:sz w:val="22"/>
                <w:szCs w:val="22"/>
              </w:rPr>
            </w:pPr>
            <w:r w:rsidRPr="004E730D">
              <w:rPr>
                <w:sz w:val="22"/>
                <w:szCs w:val="22"/>
              </w:rPr>
              <w:t>±5</w:t>
            </w:r>
          </w:p>
        </w:tc>
        <w:tc>
          <w:tcPr>
            <w:tcW w:w="801" w:type="dxa"/>
            <w:shd w:val="clear" w:color="auto" w:fill="FDE9D9" w:themeFill="accent6" w:themeFillTint="33"/>
          </w:tcPr>
          <w:p w14:paraId="55073524" w14:textId="00161539" w:rsidR="00FA2722" w:rsidRPr="004E730D" w:rsidRDefault="00FA2722" w:rsidP="00FA2722">
            <w:pPr>
              <w:jc w:val="center"/>
              <w:rPr>
                <w:sz w:val="22"/>
                <w:szCs w:val="22"/>
              </w:rPr>
            </w:pPr>
            <w:r>
              <w:rPr>
                <w:sz w:val="22"/>
                <w:szCs w:val="22"/>
              </w:rPr>
              <w:t>-</w:t>
            </w:r>
          </w:p>
        </w:tc>
      </w:tr>
      <w:tr w:rsidR="00FA2722" w:rsidRPr="004E730D" w14:paraId="349FDEAB" w14:textId="108E82B1" w:rsidTr="00F52AF8">
        <w:trPr>
          <w:jc w:val="center"/>
        </w:trPr>
        <w:tc>
          <w:tcPr>
            <w:tcW w:w="711" w:type="dxa"/>
            <w:shd w:val="clear" w:color="auto" w:fill="DAEEF3" w:themeFill="accent5" w:themeFillTint="33"/>
          </w:tcPr>
          <w:p w14:paraId="49D67B32" w14:textId="77777777" w:rsidR="00FA2722" w:rsidRPr="004E730D" w:rsidRDefault="00FA2722" w:rsidP="00FA2722">
            <w:pPr>
              <w:jc w:val="center"/>
              <w:rPr>
                <w:sz w:val="22"/>
                <w:szCs w:val="22"/>
              </w:rPr>
            </w:pPr>
            <w:r w:rsidRPr="004E730D">
              <w:rPr>
                <w:sz w:val="22"/>
                <w:szCs w:val="22"/>
              </w:rPr>
              <w:t>22,4</w:t>
            </w:r>
          </w:p>
        </w:tc>
        <w:tc>
          <w:tcPr>
            <w:tcW w:w="771" w:type="dxa"/>
            <w:shd w:val="clear" w:color="auto" w:fill="FDE9D9" w:themeFill="accent6" w:themeFillTint="33"/>
          </w:tcPr>
          <w:p w14:paraId="44411251" w14:textId="77777777" w:rsidR="00FA2722" w:rsidRPr="004E730D" w:rsidRDefault="00FA2722" w:rsidP="00FA2722">
            <w:pPr>
              <w:jc w:val="center"/>
              <w:rPr>
                <w:sz w:val="22"/>
                <w:szCs w:val="22"/>
              </w:rPr>
            </w:pPr>
          </w:p>
        </w:tc>
        <w:tc>
          <w:tcPr>
            <w:tcW w:w="711" w:type="dxa"/>
            <w:shd w:val="clear" w:color="auto" w:fill="FDE9D9" w:themeFill="accent6" w:themeFillTint="33"/>
          </w:tcPr>
          <w:p w14:paraId="0F688F83" w14:textId="77777777" w:rsidR="00FA2722" w:rsidRPr="004E730D" w:rsidRDefault="00FA2722" w:rsidP="00FA2722">
            <w:pPr>
              <w:jc w:val="center"/>
              <w:rPr>
                <w:sz w:val="22"/>
                <w:szCs w:val="22"/>
              </w:rPr>
            </w:pPr>
          </w:p>
        </w:tc>
        <w:tc>
          <w:tcPr>
            <w:tcW w:w="657" w:type="dxa"/>
            <w:shd w:val="clear" w:color="auto" w:fill="FDE9D9" w:themeFill="accent6" w:themeFillTint="33"/>
          </w:tcPr>
          <w:p w14:paraId="39563F26" w14:textId="6F40837C" w:rsidR="00FA2722" w:rsidRPr="004E730D" w:rsidRDefault="00FA2722" w:rsidP="00FA2722">
            <w:pPr>
              <w:jc w:val="center"/>
              <w:rPr>
                <w:sz w:val="22"/>
                <w:szCs w:val="22"/>
              </w:rPr>
            </w:pPr>
            <w:r w:rsidRPr="004E730D">
              <w:rPr>
                <w:sz w:val="22"/>
                <w:szCs w:val="22"/>
              </w:rPr>
              <w:t>-2</w:t>
            </w:r>
            <w:r>
              <w:rPr>
                <w:sz w:val="22"/>
                <w:szCs w:val="22"/>
              </w:rPr>
              <w:t>*</w:t>
            </w:r>
          </w:p>
        </w:tc>
        <w:tc>
          <w:tcPr>
            <w:tcW w:w="705" w:type="dxa"/>
            <w:shd w:val="clear" w:color="auto" w:fill="FDE9D9" w:themeFill="accent6" w:themeFillTint="33"/>
          </w:tcPr>
          <w:p w14:paraId="3CC1753D" w14:textId="77777777" w:rsidR="00FA2722" w:rsidRPr="004E730D" w:rsidRDefault="00FA2722" w:rsidP="00FA2722">
            <w:pPr>
              <w:jc w:val="center"/>
              <w:rPr>
                <w:sz w:val="22"/>
                <w:szCs w:val="22"/>
              </w:rPr>
            </w:pPr>
          </w:p>
        </w:tc>
        <w:tc>
          <w:tcPr>
            <w:tcW w:w="705" w:type="dxa"/>
            <w:shd w:val="clear" w:color="auto" w:fill="FDE9D9" w:themeFill="accent6" w:themeFillTint="33"/>
          </w:tcPr>
          <w:p w14:paraId="64BB763B" w14:textId="77777777" w:rsidR="00FA2722" w:rsidRPr="004E730D" w:rsidRDefault="00FA2722" w:rsidP="00FA2722">
            <w:pPr>
              <w:jc w:val="center"/>
              <w:rPr>
                <w:sz w:val="22"/>
                <w:szCs w:val="22"/>
              </w:rPr>
            </w:pPr>
          </w:p>
        </w:tc>
        <w:tc>
          <w:tcPr>
            <w:tcW w:w="801" w:type="dxa"/>
            <w:shd w:val="clear" w:color="auto" w:fill="FDE9D9" w:themeFill="accent6" w:themeFillTint="33"/>
          </w:tcPr>
          <w:p w14:paraId="06B3A3CF" w14:textId="4E584D74" w:rsidR="00FA2722" w:rsidRPr="004E730D" w:rsidRDefault="00FA2722" w:rsidP="00FA2722">
            <w:pPr>
              <w:jc w:val="center"/>
              <w:rPr>
                <w:sz w:val="22"/>
                <w:szCs w:val="22"/>
              </w:rPr>
            </w:pPr>
            <w:r w:rsidRPr="004E730D">
              <w:rPr>
                <w:sz w:val="22"/>
                <w:szCs w:val="22"/>
              </w:rPr>
              <w:t>-2</w:t>
            </w:r>
            <w:r>
              <w:rPr>
                <w:sz w:val="22"/>
                <w:szCs w:val="22"/>
              </w:rPr>
              <w:t>*</w:t>
            </w:r>
          </w:p>
        </w:tc>
        <w:tc>
          <w:tcPr>
            <w:tcW w:w="801" w:type="dxa"/>
            <w:shd w:val="clear" w:color="auto" w:fill="FDE9D9" w:themeFill="accent6" w:themeFillTint="33"/>
          </w:tcPr>
          <w:p w14:paraId="3B8B847A" w14:textId="43EC1C27" w:rsidR="00FA2722" w:rsidRPr="004E730D" w:rsidRDefault="00FA2722" w:rsidP="00FA2722">
            <w:pPr>
              <w:jc w:val="center"/>
              <w:rPr>
                <w:sz w:val="22"/>
                <w:szCs w:val="22"/>
              </w:rPr>
            </w:pPr>
            <w:r w:rsidRPr="004E730D">
              <w:rPr>
                <w:sz w:val="22"/>
                <w:szCs w:val="22"/>
              </w:rPr>
              <w:t>-2</w:t>
            </w:r>
            <w:r>
              <w:rPr>
                <w:sz w:val="22"/>
                <w:szCs w:val="22"/>
              </w:rPr>
              <w:t>*</w:t>
            </w:r>
          </w:p>
        </w:tc>
        <w:tc>
          <w:tcPr>
            <w:tcW w:w="801" w:type="dxa"/>
            <w:shd w:val="clear" w:color="auto" w:fill="FDE9D9" w:themeFill="accent6" w:themeFillTint="33"/>
          </w:tcPr>
          <w:p w14:paraId="46388742" w14:textId="5466A007" w:rsidR="00FA2722" w:rsidRPr="004E730D" w:rsidRDefault="00FA2722" w:rsidP="00FA2722">
            <w:pPr>
              <w:jc w:val="center"/>
              <w:rPr>
                <w:sz w:val="22"/>
                <w:szCs w:val="22"/>
              </w:rPr>
            </w:pPr>
            <w:r w:rsidRPr="004E730D">
              <w:rPr>
                <w:sz w:val="22"/>
                <w:szCs w:val="22"/>
              </w:rPr>
              <w:t>±5</w:t>
            </w:r>
          </w:p>
        </w:tc>
      </w:tr>
      <w:tr w:rsidR="00FA2722" w:rsidRPr="004E730D" w14:paraId="0F0667D6" w14:textId="77777777" w:rsidTr="00F52AF8">
        <w:trPr>
          <w:jc w:val="center"/>
        </w:trPr>
        <w:tc>
          <w:tcPr>
            <w:tcW w:w="711" w:type="dxa"/>
            <w:shd w:val="clear" w:color="auto" w:fill="DAEEF3" w:themeFill="accent5" w:themeFillTint="33"/>
          </w:tcPr>
          <w:p w14:paraId="1E65E9B0" w14:textId="6A38D5AA" w:rsidR="00FA2722" w:rsidRPr="004E730D" w:rsidRDefault="00FA2722" w:rsidP="00FA2722">
            <w:pPr>
              <w:jc w:val="center"/>
              <w:rPr>
                <w:sz w:val="22"/>
                <w:szCs w:val="22"/>
              </w:rPr>
            </w:pPr>
            <w:r>
              <w:rPr>
                <w:sz w:val="22"/>
                <w:szCs w:val="22"/>
              </w:rPr>
              <w:t>31,5</w:t>
            </w:r>
          </w:p>
        </w:tc>
        <w:tc>
          <w:tcPr>
            <w:tcW w:w="771" w:type="dxa"/>
            <w:shd w:val="clear" w:color="auto" w:fill="FDE9D9" w:themeFill="accent6" w:themeFillTint="33"/>
          </w:tcPr>
          <w:p w14:paraId="46C2D3D6" w14:textId="77777777" w:rsidR="00FA2722" w:rsidRPr="004E730D" w:rsidRDefault="00FA2722" w:rsidP="00FA2722">
            <w:pPr>
              <w:jc w:val="center"/>
              <w:rPr>
                <w:sz w:val="22"/>
                <w:szCs w:val="22"/>
              </w:rPr>
            </w:pPr>
          </w:p>
        </w:tc>
        <w:tc>
          <w:tcPr>
            <w:tcW w:w="711" w:type="dxa"/>
            <w:shd w:val="clear" w:color="auto" w:fill="FDE9D9" w:themeFill="accent6" w:themeFillTint="33"/>
          </w:tcPr>
          <w:p w14:paraId="3B459CD9" w14:textId="77777777" w:rsidR="00FA2722" w:rsidRPr="004E730D" w:rsidRDefault="00FA2722" w:rsidP="00FA2722">
            <w:pPr>
              <w:jc w:val="center"/>
              <w:rPr>
                <w:sz w:val="22"/>
                <w:szCs w:val="22"/>
              </w:rPr>
            </w:pPr>
          </w:p>
        </w:tc>
        <w:tc>
          <w:tcPr>
            <w:tcW w:w="657" w:type="dxa"/>
            <w:shd w:val="clear" w:color="auto" w:fill="FDE9D9" w:themeFill="accent6" w:themeFillTint="33"/>
          </w:tcPr>
          <w:p w14:paraId="789EFE14" w14:textId="77777777" w:rsidR="00FA2722" w:rsidRPr="004E730D" w:rsidRDefault="00FA2722" w:rsidP="00FA2722">
            <w:pPr>
              <w:jc w:val="center"/>
              <w:rPr>
                <w:sz w:val="22"/>
                <w:szCs w:val="22"/>
              </w:rPr>
            </w:pPr>
          </w:p>
        </w:tc>
        <w:tc>
          <w:tcPr>
            <w:tcW w:w="705" w:type="dxa"/>
            <w:shd w:val="clear" w:color="auto" w:fill="FDE9D9" w:themeFill="accent6" w:themeFillTint="33"/>
          </w:tcPr>
          <w:p w14:paraId="06864FE3" w14:textId="77777777" w:rsidR="00FA2722" w:rsidRPr="004E730D" w:rsidRDefault="00FA2722" w:rsidP="00FA2722">
            <w:pPr>
              <w:jc w:val="center"/>
              <w:rPr>
                <w:sz w:val="22"/>
                <w:szCs w:val="22"/>
              </w:rPr>
            </w:pPr>
          </w:p>
        </w:tc>
        <w:tc>
          <w:tcPr>
            <w:tcW w:w="705" w:type="dxa"/>
            <w:shd w:val="clear" w:color="auto" w:fill="FDE9D9" w:themeFill="accent6" w:themeFillTint="33"/>
          </w:tcPr>
          <w:p w14:paraId="69B36C70" w14:textId="77777777" w:rsidR="00FA2722" w:rsidRPr="004E730D" w:rsidRDefault="00FA2722" w:rsidP="00FA2722">
            <w:pPr>
              <w:jc w:val="center"/>
              <w:rPr>
                <w:sz w:val="22"/>
                <w:szCs w:val="22"/>
              </w:rPr>
            </w:pPr>
          </w:p>
        </w:tc>
        <w:tc>
          <w:tcPr>
            <w:tcW w:w="801" w:type="dxa"/>
            <w:shd w:val="clear" w:color="auto" w:fill="FDE9D9" w:themeFill="accent6" w:themeFillTint="33"/>
          </w:tcPr>
          <w:p w14:paraId="2353EEA3" w14:textId="77777777" w:rsidR="00FA2722" w:rsidRPr="004E730D" w:rsidRDefault="00FA2722" w:rsidP="00FA2722">
            <w:pPr>
              <w:jc w:val="center"/>
              <w:rPr>
                <w:sz w:val="22"/>
                <w:szCs w:val="22"/>
              </w:rPr>
            </w:pPr>
          </w:p>
        </w:tc>
        <w:tc>
          <w:tcPr>
            <w:tcW w:w="801" w:type="dxa"/>
            <w:shd w:val="clear" w:color="auto" w:fill="FDE9D9" w:themeFill="accent6" w:themeFillTint="33"/>
          </w:tcPr>
          <w:p w14:paraId="65F6B6E8" w14:textId="77777777" w:rsidR="00FA2722" w:rsidRPr="004E730D" w:rsidRDefault="00FA2722" w:rsidP="00FA2722">
            <w:pPr>
              <w:jc w:val="center"/>
              <w:rPr>
                <w:sz w:val="22"/>
                <w:szCs w:val="22"/>
              </w:rPr>
            </w:pPr>
          </w:p>
        </w:tc>
        <w:tc>
          <w:tcPr>
            <w:tcW w:w="801" w:type="dxa"/>
            <w:shd w:val="clear" w:color="auto" w:fill="FDE9D9" w:themeFill="accent6" w:themeFillTint="33"/>
          </w:tcPr>
          <w:p w14:paraId="44D3DE5D" w14:textId="5F7B2050" w:rsidR="00FA2722" w:rsidRPr="004E730D" w:rsidRDefault="00FA2722" w:rsidP="00FA2722">
            <w:pPr>
              <w:jc w:val="center"/>
              <w:rPr>
                <w:sz w:val="22"/>
                <w:szCs w:val="22"/>
              </w:rPr>
            </w:pPr>
            <w:r w:rsidRPr="004E730D">
              <w:rPr>
                <w:sz w:val="22"/>
                <w:szCs w:val="22"/>
              </w:rPr>
              <w:t>-2</w:t>
            </w:r>
            <w:r>
              <w:rPr>
                <w:sz w:val="22"/>
                <w:szCs w:val="22"/>
              </w:rPr>
              <w:t>*</w:t>
            </w:r>
          </w:p>
        </w:tc>
      </w:tr>
    </w:tbl>
    <w:p w14:paraId="742E0EE0" w14:textId="0811C670" w:rsidR="007317FC" w:rsidRDefault="005171A4" w:rsidP="00291630">
      <w:pPr>
        <w:spacing w:before="240"/>
        <w:rPr>
          <w:i/>
        </w:rPr>
      </w:pPr>
      <w:r w:rsidRPr="0090491D">
        <w:rPr>
          <w:i/>
        </w:rPr>
        <w:t>* Krafan er að sáldur sem smýgur 1,4</w:t>
      </w:r>
      <w:r w:rsidR="0047772A">
        <w:rPr>
          <w:i/>
        </w:rPr>
        <w:t>*</w:t>
      </w:r>
      <w:r w:rsidRPr="0090491D">
        <w:rPr>
          <w:i/>
        </w:rPr>
        <w:t xml:space="preserve">D sé 100 % en þolvik eru -2, sem þýðir að minnst 98 % </w:t>
      </w:r>
      <w:r>
        <w:rPr>
          <w:i/>
        </w:rPr>
        <w:t>skulu smjúga það sigti</w:t>
      </w:r>
    </w:p>
    <w:p w14:paraId="02AA2A35" w14:textId="77777777" w:rsidR="00291630" w:rsidRPr="00291630" w:rsidRDefault="00291630" w:rsidP="007317FC"/>
    <w:p w14:paraId="2CA0283E" w14:textId="69F1E7BE" w:rsidR="005171A4" w:rsidRDefault="00291630" w:rsidP="008854B5">
      <w:pPr>
        <w:ind w:firstLine="284"/>
      </w:pPr>
      <w:r>
        <w:t xml:space="preserve">Þolvik á magni bindiefnis er </w:t>
      </w:r>
      <w:r w:rsidRPr="004E730D">
        <w:rPr>
          <w:sz w:val="22"/>
          <w:szCs w:val="22"/>
        </w:rPr>
        <w:t>±</w:t>
      </w:r>
      <w:r>
        <w:rPr>
          <w:sz w:val="22"/>
          <w:szCs w:val="22"/>
        </w:rPr>
        <w:t>0,</w:t>
      </w:r>
      <w:r w:rsidRPr="004E730D">
        <w:rPr>
          <w:sz w:val="22"/>
          <w:szCs w:val="22"/>
        </w:rPr>
        <w:t>3</w:t>
      </w:r>
      <w:r>
        <w:rPr>
          <w:sz w:val="22"/>
          <w:szCs w:val="22"/>
        </w:rPr>
        <w:t xml:space="preserve">% fyrir allar malbiksgerðirnar sem fjallað er um </w:t>
      </w:r>
      <w:r w:rsidR="003B3D5D">
        <w:rPr>
          <w:sz w:val="22"/>
          <w:szCs w:val="22"/>
        </w:rPr>
        <w:t>í töflu 4.1, sem sagt ef</w:t>
      </w:r>
      <w:r>
        <w:rPr>
          <w:sz w:val="22"/>
          <w:szCs w:val="22"/>
        </w:rPr>
        <w:t xml:space="preserve"> um er að ræða meðaltal fjögurra sýna.</w:t>
      </w:r>
    </w:p>
    <w:p w14:paraId="25FD8F87" w14:textId="3DA36413" w:rsidR="007317FC" w:rsidRPr="004E730D" w:rsidRDefault="007317FC" w:rsidP="007317FC">
      <w:pPr>
        <w:pStyle w:val="Caption"/>
        <w:keepNext/>
        <w:ind w:right="90"/>
        <w:jc w:val="both"/>
        <w:rPr>
          <w:b w:val="0"/>
          <w:sz w:val="22"/>
          <w:szCs w:val="22"/>
        </w:rPr>
      </w:pPr>
      <w:r>
        <w:rPr>
          <w:sz w:val="22"/>
          <w:szCs w:val="22"/>
        </w:rPr>
        <w:t>Tafla 4</w:t>
      </w:r>
      <w:r w:rsidR="006C31C4">
        <w:rPr>
          <w:sz w:val="22"/>
          <w:szCs w:val="22"/>
        </w:rPr>
        <w:t>.</w:t>
      </w:r>
      <w:r>
        <w:rPr>
          <w:sz w:val="22"/>
          <w:szCs w:val="22"/>
        </w:rPr>
        <w:t>2</w:t>
      </w:r>
      <w:r w:rsidRPr="004E730D">
        <w:rPr>
          <w:sz w:val="22"/>
          <w:szCs w:val="22"/>
        </w:rPr>
        <w:t>:</w:t>
      </w:r>
      <w:r w:rsidRPr="004E730D">
        <w:rPr>
          <w:b w:val="0"/>
          <w:sz w:val="22"/>
          <w:szCs w:val="22"/>
        </w:rPr>
        <w:t xml:space="preserve"> Þolvik (%) frá hönnuðum sáldurferli í sýnum af </w:t>
      </w:r>
      <w:r w:rsidR="0025107D">
        <w:rPr>
          <w:b w:val="0"/>
          <w:sz w:val="22"/>
          <w:szCs w:val="22"/>
        </w:rPr>
        <w:t>stíf</w:t>
      </w:r>
      <w:r w:rsidR="0025107D" w:rsidRPr="00C70C88">
        <w:rPr>
          <w:b w:val="0"/>
          <w:sz w:val="22"/>
          <w:szCs w:val="22"/>
        </w:rPr>
        <w:t>malbiki</w:t>
      </w:r>
      <w:r w:rsidR="0025107D">
        <w:rPr>
          <w:b w:val="0"/>
          <w:sz w:val="22"/>
          <w:szCs w:val="22"/>
        </w:rPr>
        <w:t xml:space="preserve"> og steinríku malbiki í slitlag</w:t>
      </w:r>
      <w:r w:rsidR="00976D4D">
        <w:rPr>
          <w:b w:val="0"/>
          <w:sz w:val="22"/>
          <w:szCs w:val="22"/>
        </w:rPr>
        <w:t>, stakar mælingar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744"/>
        <w:gridCol w:w="744"/>
        <w:gridCol w:w="744"/>
        <w:gridCol w:w="743"/>
        <w:gridCol w:w="744"/>
        <w:gridCol w:w="744"/>
        <w:gridCol w:w="744"/>
        <w:gridCol w:w="744"/>
      </w:tblGrid>
      <w:tr w:rsidR="00FA2722" w:rsidRPr="004E730D" w14:paraId="13DC5CEB" w14:textId="23F4E9CC" w:rsidTr="00F52AF8">
        <w:trPr>
          <w:jc w:val="center"/>
        </w:trPr>
        <w:tc>
          <w:tcPr>
            <w:tcW w:w="6795" w:type="dxa"/>
            <w:gridSpan w:val="9"/>
            <w:shd w:val="clear" w:color="auto" w:fill="DAEEF3" w:themeFill="accent5" w:themeFillTint="33"/>
          </w:tcPr>
          <w:p w14:paraId="05BA0D22" w14:textId="022D28D0" w:rsidR="00FA2722" w:rsidRPr="004E730D" w:rsidRDefault="00FA2722" w:rsidP="0014393C">
            <w:pPr>
              <w:jc w:val="center"/>
              <w:rPr>
                <w:b/>
                <w:sz w:val="22"/>
                <w:szCs w:val="22"/>
              </w:rPr>
            </w:pPr>
            <w:r w:rsidRPr="004E730D">
              <w:rPr>
                <w:b/>
                <w:sz w:val="22"/>
                <w:szCs w:val="22"/>
              </w:rPr>
              <w:t xml:space="preserve">Malbiksgerð </w:t>
            </w:r>
            <w:r>
              <w:rPr>
                <w:b/>
                <w:sz w:val="22"/>
                <w:szCs w:val="22"/>
              </w:rPr>
              <w:t>S</w:t>
            </w:r>
            <w:r w:rsidRPr="004E730D">
              <w:rPr>
                <w:b/>
                <w:sz w:val="22"/>
                <w:szCs w:val="22"/>
              </w:rPr>
              <w:t>L</w:t>
            </w:r>
            <w:r w:rsidR="00721149">
              <w:rPr>
                <w:b/>
                <w:sz w:val="22"/>
                <w:szCs w:val="22"/>
              </w:rPr>
              <w:t>,</w:t>
            </w:r>
            <w:r w:rsidRPr="004E730D">
              <w:rPr>
                <w:b/>
                <w:sz w:val="22"/>
                <w:szCs w:val="22"/>
              </w:rPr>
              <w:t xml:space="preserve"> </w:t>
            </w:r>
            <w:r>
              <w:rPr>
                <w:b/>
                <w:sz w:val="22"/>
                <w:szCs w:val="22"/>
              </w:rPr>
              <w:t>SMA</w:t>
            </w:r>
            <w:r w:rsidR="00721149">
              <w:rPr>
                <w:b/>
                <w:sz w:val="22"/>
                <w:szCs w:val="22"/>
              </w:rPr>
              <w:t xml:space="preserve"> og BRL</w:t>
            </w:r>
            <w:r>
              <w:rPr>
                <w:b/>
                <w:sz w:val="22"/>
                <w:szCs w:val="22"/>
              </w:rPr>
              <w:t>, stakar mælingar</w:t>
            </w:r>
          </w:p>
        </w:tc>
      </w:tr>
      <w:tr w:rsidR="00FA2722" w:rsidRPr="004E730D" w14:paraId="4F9642E9" w14:textId="4D96728B" w:rsidTr="00F52AF8">
        <w:trPr>
          <w:jc w:val="center"/>
        </w:trPr>
        <w:tc>
          <w:tcPr>
            <w:tcW w:w="844" w:type="dxa"/>
            <w:shd w:val="clear" w:color="auto" w:fill="DAEEF3" w:themeFill="accent5" w:themeFillTint="33"/>
          </w:tcPr>
          <w:p w14:paraId="07E56430" w14:textId="77777777" w:rsidR="00FA2722" w:rsidRPr="004E730D" w:rsidRDefault="00FA2722" w:rsidP="00FA2722">
            <w:pPr>
              <w:jc w:val="center"/>
              <w:rPr>
                <w:b/>
                <w:sz w:val="22"/>
                <w:szCs w:val="22"/>
              </w:rPr>
            </w:pPr>
            <w:r w:rsidRPr="004E730D">
              <w:rPr>
                <w:b/>
                <w:sz w:val="22"/>
                <w:szCs w:val="22"/>
              </w:rPr>
              <w:t>Sigti</w:t>
            </w:r>
          </w:p>
        </w:tc>
        <w:tc>
          <w:tcPr>
            <w:tcW w:w="744" w:type="dxa"/>
            <w:shd w:val="clear" w:color="auto" w:fill="DAEEF3" w:themeFill="accent5" w:themeFillTint="33"/>
          </w:tcPr>
          <w:p w14:paraId="06413D7D" w14:textId="404311FB" w:rsidR="00FA2722" w:rsidRPr="004E730D" w:rsidRDefault="00FA2722" w:rsidP="00FA2722">
            <w:pPr>
              <w:rPr>
                <w:b/>
                <w:sz w:val="22"/>
                <w:szCs w:val="22"/>
              </w:rPr>
            </w:pPr>
            <w:r>
              <w:rPr>
                <w:b/>
                <w:sz w:val="22"/>
                <w:szCs w:val="22"/>
              </w:rPr>
              <w:t>AC</w:t>
            </w:r>
          </w:p>
          <w:p w14:paraId="0FE092CB" w14:textId="77777777" w:rsidR="00FA2722" w:rsidRPr="004E730D" w:rsidRDefault="00FA2722" w:rsidP="00FA2722">
            <w:pPr>
              <w:jc w:val="center"/>
              <w:rPr>
                <w:b/>
                <w:sz w:val="22"/>
                <w:szCs w:val="22"/>
              </w:rPr>
            </w:pPr>
            <w:r w:rsidRPr="004E730D">
              <w:rPr>
                <w:b/>
                <w:sz w:val="22"/>
                <w:szCs w:val="22"/>
              </w:rPr>
              <w:t xml:space="preserve"> 8</w:t>
            </w:r>
          </w:p>
        </w:tc>
        <w:tc>
          <w:tcPr>
            <w:tcW w:w="744" w:type="dxa"/>
            <w:shd w:val="clear" w:color="auto" w:fill="DAEEF3" w:themeFill="accent5" w:themeFillTint="33"/>
          </w:tcPr>
          <w:p w14:paraId="356C39EF" w14:textId="6815A54B" w:rsidR="00FA2722" w:rsidRPr="004E730D" w:rsidRDefault="00FA2722" w:rsidP="00FA2722">
            <w:pPr>
              <w:jc w:val="center"/>
              <w:rPr>
                <w:b/>
                <w:sz w:val="22"/>
                <w:szCs w:val="22"/>
              </w:rPr>
            </w:pPr>
            <w:r>
              <w:rPr>
                <w:b/>
                <w:sz w:val="22"/>
                <w:szCs w:val="22"/>
              </w:rPr>
              <w:t>AC</w:t>
            </w:r>
            <w:r w:rsidRPr="004E730D">
              <w:rPr>
                <w:b/>
                <w:sz w:val="22"/>
                <w:szCs w:val="22"/>
              </w:rPr>
              <w:t xml:space="preserve"> 11</w:t>
            </w:r>
          </w:p>
        </w:tc>
        <w:tc>
          <w:tcPr>
            <w:tcW w:w="744" w:type="dxa"/>
            <w:shd w:val="clear" w:color="auto" w:fill="DAEEF3" w:themeFill="accent5" w:themeFillTint="33"/>
          </w:tcPr>
          <w:p w14:paraId="13F7448B" w14:textId="217329A8" w:rsidR="00FA2722" w:rsidRPr="004E730D" w:rsidRDefault="00FA2722" w:rsidP="00FA2722">
            <w:pPr>
              <w:jc w:val="center"/>
              <w:rPr>
                <w:b/>
                <w:sz w:val="22"/>
                <w:szCs w:val="22"/>
              </w:rPr>
            </w:pPr>
            <w:r>
              <w:rPr>
                <w:b/>
                <w:sz w:val="22"/>
                <w:szCs w:val="22"/>
              </w:rPr>
              <w:t>AC</w:t>
            </w:r>
            <w:r w:rsidRPr="004E730D">
              <w:rPr>
                <w:b/>
                <w:sz w:val="22"/>
                <w:szCs w:val="22"/>
              </w:rPr>
              <w:t xml:space="preserve"> 16</w:t>
            </w:r>
          </w:p>
        </w:tc>
        <w:tc>
          <w:tcPr>
            <w:tcW w:w="743" w:type="dxa"/>
            <w:shd w:val="clear" w:color="auto" w:fill="DAEEF3" w:themeFill="accent5" w:themeFillTint="33"/>
          </w:tcPr>
          <w:p w14:paraId="100D3D40" w14:textId="77777777" w:rsidR="00FA2722" w:rsidRPr="004E730D" w:rsidRDefault="00FA2722" w:rsidP="00FA2722">
            <w:pPr>
              <w:jc w:val="center"/>
              <w:rPr>
                <w:b/>
                <w:sz w:val="22"/>
                <w:szCs w:val="22"/>
              </w:rPr>
            </w:pPr>
            <w:r w:rsidRPr="004E730D">
              <w:rPr>
                <w:b/>
                <w:sz w:val="22"/>
                <w:szCs w:val="22"/>
              </w:rPr>
              <w:t>SMA 8</w:t>
            </w:r>
          </w:p>
        </w:tc>
        <w:tc>
          <w:tcPr>
            <w:tcW w:w="744" w:type="dxa"/>
            <w:shd w:val="clear" w:color="auto" w:fill="DAEEF3" w:themeFill="accent5" w:themeFillTint="33"/>
          </w:tcPr>
          <w:p w14:paraId="66F36EEE" w14:textId="77777777" w:rsidR="00FA2722" w:rsidRPr="004E730D" w:rsidRDefault="00FA2722" w:rsidP="00FA2722">
            <w:pPr>
              <w:jc w:val="center"/>
              <w:rPr>
                <w:b/>
                <w:sz w:val="22"/>
                <w:szCs w:val="22"/>
              </w:rPr>
            </w:pPr>
            <w:r w:rsidRPr="004E730D">
              <w:rPr>
                <w:b/>
                <w:sz w:val="22"/>
                <w:szCs w:val="22"/>
              </w:rPr>
              <w:t>SMA 11</w:t>
            </w:r>
          </w:p>
        </w:tc>
        <w:tc>
          <w:tcPr>
            <w:tcW w:w="744" w:type="dxa"/>
            <w:shd w:val="clear" w:color="auto" w:fill="DAEEF3" w:themeFill="accent5" w:themeFillTint="33"/>
          </w:tcPr>
          <w:p w14:paraId="23F38085" w14:textId="77777777" w:rsidR="00FA2722" w:rsidRPr="004E730D" w:rsidRDefault="00FA2722" w:rsidP="00FA2722">
            <w:pPr>
              <w:jc w:val="center"/>
              <w:rPr>
                <w:b/>
                <w:sz w:val="22"/>
                <w:szCs w:val="22"/>
              </w:rPr>
            </w:pPr>
            <w:r w:rsidRPr="004E730D">
              <w:rPr>
                <w:b/>
                <w:sz w:val="22"/>
                <w:szCs w:val="22"/>
              </w:rPr>
              <w:t>SMA 16</w:t>
            </w:r>
          </w:p>
        </w:tc>
        <w:tc>
          <w:tcPr>
            <w:tcW w:w="744" w:type="dxa"/>
            <w:shd w:val="clear" w:color="auto" w:fill="DAEEF3" w:themeFill="accent5" w:themeFillTint="33"/>
          </w:tcPr>
          <w:p w14:paraId="71C13C23" w14:textId="56797A05" w:rsidR="00FA2722" w:rsidRPr="004E730D" w:rsidRDefault="00FA2722" w:rsidP="00FA2722">
            <w:pPr>
              <w:jc w:val="center"/>
              <w:rPr>
                <w:b/>
                <w:sz w:val="22"/>
                <w:szCs w:val="22"/>
              </w:rPr>
            </w:pPr>
            <w:r>
              <w:rPr>
                <w:b/>
                <w:sz w:val="22"/>
                <w:szCs w:val="22"/>
              </w:rPr>
              <w:t>BRL 16</w:t>
            </w:r>
          </w:p>
        </w:tc>
        <w:tc>
          <w:tcPr>
            <w:tcW w:w="744" w:type="dxa"/>
            <w:shd w:val="clear" w:color="auto" w:fill="DAEEF3" w:themeFill="accent5" w:themeFillTint="33"/>
          </w:tcPr>
          <w:p w14:paraId="1FB52A3F" w14:textId="0D4AEE5B" w:rsidR="00FA2722" w:rsidRPr="004E730D" w:rsidRDefault="00FA2722" w:rsidP="00FA2722">
            <w:pPr>
              <w:jc w:val="center"/>
              <w:rPr>
                <w:b/>
                <w:sz w:val="22"/>
                <w:szCs w:val="22"/>
              </w:rPr>
            </w:pPr>
            <w:r>
              <w:rPr>
                <w:b/>
                <w:sz w:val="22"/>
                <w:szCs w:val="22"/>
              </w:rPr>
              <w:t>BRL 22</w:t>
            </w:r>
          </w:p>
        </w:tc>
      </w:tr>
      <w:tr w:rsidR="00721149" w:rsidRPr="004E730D" w14:paraId="0CF10FBC" w14:textId="04226E02" w:rsidTr="00F52AF8">
        <w:trPr>
          <w:jc w:val="center"/>
        </w:trPr>
        <w:tc>
          <w:tcPr>
            <w:tcW w:w="844" w:type="dxa"/>
            <w:shd w:val="clear" w:color="auto" w:fill="DAEEF3" w:themeFill="accent5" w:themeFillTint="33"/>
          </w:tcPr>
          <w:p w14:paraId="5291C141" w14:textId="77777777" w:rsidR="00721149" w:rsidRPr="004E730D" w:rsidRDefault="00721149" w:rsidP="00721149">
            <w:pPr>
              <w:jc w:val="center"/>
              <w:rPr>
                <w:sz w:val="22"/>
                <w:szCs w:val="22"/>
              </w:rPr>
            </w:pPr>
            <w:r w:rsidRPr="004E730D">
              <w:rPr>
                <w:sz w:val="22"/>
                <w:szCs w:val="22"/>
              </w:rPr>
              <w:t>0,063</w:t>
            </w:r>
          </w:p>
        </w:tc>
        <w:tc>
          <w:tcPr>
            <w:tcW w:w="744" w:type="dxa"/>
            <w:shd w:val="clear" w:color="auto" w:fill="FDE9D9" w:themeFill="accent6" w:themeFillTint="33"/>
          </w:tcPr>
          <w:p w14:paraId="3CAFC7EF" w14:textId="77777777" w:rsidR="00721149" w:rsidRPr="004E730D" w:rsidRDefault="00721149" w:rsidP="00721149">
            <w:pPr>
              <w:jc w:val="center"/>
              <w:rPr>
                <w:sz w:val="22"/>
                <w:szCs w:val="22"/>
              </w:rPr>
            </w:pPr>
            <w:r w:rsidRPr="004E730D">
              <w:rPr>
                <w:sz w:val="22"/>
                <w:szCs w:val="22"/>
              </w:rPr>
              <w:t>±</w:t>
            </w:r>
            <w:r>
              <w:rPr>
                <w:sz w:val="22"/>
                <w:szCs w:val="22"/>
              </w:rPr>
              <w:t>2</w:t>
            </w:r>
          </w:p>
        </w:tc>
        <w:tc>
          <w:tcPr>
            <w:tcW w:w="744" w:type="dxa"/>
            <w:shd w:val="clear" w:color="auto" w:fill="FDE9D9" w:themeFill="accent6" w:themeFillTint="33"/>
          </w:tcPr>
          <w:p w14:paraId="3E95F630" w14:textId="77777777" w:rsidR="00721149" w:rsidRPr="004E730D" w:rsidRDefault="00721149" w:rsidP="00721149">
            <w:pPr>
              <w:jc w:val="center"/>
              <w:rPr>
                <w:sz w:val="22"/>
                <w:szCs w:val="22"/>
              </w:rPr>
            </w:pPr>
            <w:r w:rsidRPr="004E730D">
              <w:rPr>
                <w:sz w:val="22"/>
                <w:szCs w:val="22"/>
              </w:rPr>
              <w:t>±2</w:t>
            </w:r>
          </w:p>
        </w:tc>
        <w:tc>
          <w:tcPr>
            <w:tcW w:w="744" w:type="dxa"/>
            <w:shd w:val="clear" w:color="auto" w:fill="FDE9D9" w:themeFill="accent6" w:themeFillTint="33"/>
          </w:tcPr>
          <w:p w14:paraId="1A126B87" w14:textId="77777777" w:rsidR="00721149" w:rsidRPr="004E730D" w:rsidRDefault="00721149" w:rsidP="00721149">
            <w:pPr>
              <w:jc w:val="center"/>
              <w:rPr>
                <w:sz w:val="22"/>
                <w:szCs w:val="22"/>
              </w:rPr>
            </w:pPr>
            <w:r w:rsidRPr="004E730D">
              <w:rPr>
                <w:sz w:val="22"/>
                <w:szCs w:val="22"/>
              </w:rPr>
              <w:t>±</w:t>
            </w:r>
            <w:r>
              <w:rPr>
                <w:sz w:val="22"/>
                <w:szCs w:val="22"/>
              </w:rPr>
              <w:t>3</w:t>
            </w:r>
          </w:p>
        </w:tc>
        <w:tc>
          <w:tcPr>
            <w:tcW w:w="743" w:type="dxa"/>
            <w:shd w:val="clear" w:color="auto" w:fill="FDE9D9" w:themeFill="accent6" w:themeFillTint="33"/>
          </w:tcPr>
          <w:p w14:paraId="4FB3D696" w14:textId="77777777" w:rsidR="00721149" w:rsidRPr="004E730D" w:rsidRDefault="00721149" w:rsidP="00721149">
            <w:pPr>
              <w:jc w:val="center"/>
              <w:rPr>
                <w:sz w:val="22"/>
                <w:szCs w:val="22"/>
              </w:rPr>
            </w:pPr>
            <w:r w:rsidRPr="004E730D">
              <w:rPr>
                <w:sz w:val="22"/>
                <w:szCs w:val="22"/>
              </w:rPr>
              <w:t>±2</w:t>
            </w:r>
          </w:p>
        </w:tc>
        <w:tc>
          <w:tcPr>
            <w:tcW w:w="744" w:type="dxa"/>
            <w:shd w:val="clear" w:color="auto" w:fill="FDE9D9" w:themeFill="accent6" w:themeFillTint="33"/>
          </w:tcPr>
          <w:p w14:paraId="413C0957" w14:textId="77777777" w:rsidR="00721149" w:rsidRPr="004E730D" w:rsidRDefault="00721149" w:rsidP="00721149">
            <w:pPr>
              <w:jc w:val="center"/>
              <w:rPr>
                <w:sz w:val="22"/>
                <w:szCs w:val="22"/>
              </w:rPr>
            </w:pPr>
            <w:r w:rsidRPr="004E730D">
              <w:rPr>
                <w:sz w:val="22"/>
                <w:szCs w:val="22"/>
              </w:rPr>
              <w:t>±2</w:t>
            </w:r>
          </w:p>
        </w:tc>
        <w:tc>
          <w:tcPr>
            <w:tcW w:w="744" w:type="dxa"/>
            <w:shd w:val="clear" w:color="auto" w:fill="FDE9D9" w:themeFill="accent6" w:themeFillTint="33"/>
          </w:tcPr>
          <w:p w14:paraId="373F2812" w14:textId="77777777" w:rsidR="00721149" w:rsidRPr="004E730D" w:rsidRDefault="00721149" w:rsidP="00721149">
            <w:pPr>
              <w:jc w:val="center"/>
              <w:rPr>
                <w:sz w:val="22"/>
                <w:szCs w:val="22"/>
              </w:rPr>
            </w:pPr>
            <w:r w:rsidRPr="004E730D">
              <w:rPr>
                <w:sz w:val="22"/>
                <w:szCs w:val="22"/>
              </w:rPr>
              <w:t>±</w:t>
            </w:r>
            <w:r>
              <w:rPr>
                <w:sz w:val="22"/>
                <w:szCs w:val="22"/>
              </w:rPr>
              <w:t>3</w:t>
            </w:r>
          </w:p>
        </w:tc>
        <w:tc>
          <w:tcPr>
            <w:tcW w:w="744" w:type="dxa"/>
            <w:shd w:val="clear" w:color="auto" w:fill="FDE9D9" w:themeFill="accent6" w:themeFillTint="33"/>
          </w:tcPr>
          <w:p w14:paraId="616249A3" w14:textId="319DF23E" w:rsidR="00721149" w:rsidRPr="004E730D" w:rsidRDefault="00721149" w:rsidP="00721149">
            <w:pPr>
              <w:jc w:val="center"/>
              <w:rPr>
                <w:sz w:val="22"/>
                <w:szCs w:val="22"/>
              </w:rPr>
            </w:pPr>
            <w:r w:rsidRPr="004E730D">
              <w:rPr>
                <w:sz w:val="22"/>
                <w:szCs w:val="22"/>
              </w:rPr>
              <w:t>±</w:t>
            </w:r>
            <w:r>
              <w:rPr>
                <w:sz w:val="22"/>
                <w:szCs w:val="22"/>
              </w:rPr>
              <w:t>3</w:t>
            </w:r>
          </w:p>
        </w:tc>
        <w:tc>
          <w:tcPr>
            <w:tcW w:w="744" w:type="dxa"/>
            <w:shd w:val="clear" w:color="auto" w:fill="FDE9D9" w:themeFill="accent6" w:themeFillTint="33"/>
          </w:tcPr>
          <w:p w14:paraId="37E30244" w14:textId="03A28128" w:rsidR="00721149" w:rsidRPr="004E730D" w:rsidRDefault="00721149" w:rsidP="00721149">
            <w:pPr>
              <w:jc w:val="center"/>
              <w:rPr>
                <w:sz w:val="22"/>
                <w:szCs w:val="22"/>
              </w:rPr>
            </w:pPr>
            <w:r w:rsidRPr="004E730D">
              <w:rPr>
                <w:sz w:val="22"/>
                <w:szCs w:val="22"/>
              </w:rPr>
              <w:t>±</w:t>
            </w:r>
            <w:r>
              <w:rPr>
                <w:sz w:val="22"/>
                <w:szCs w:val="22"/>
              </w:rPr>
              <w:t>3</w:t>
            </w:r>
          </w:p>
        </w:tc>
      </w:tr>
      <w:tr w:rsidR="00721149" w:rsidRPr="004E730D" w14:paraId="6C60162A" w14:textId="1ADAC5BE" w:rsidTr="00F52AF8">
        <w:trPr>
          <w:jc w:val="center"/>
        </w:trPr>
        <w:tc>
          <w:tcPr>
            <w:tcW w:w="844" w:type="dxa"/>
            <w:shd w:val="clear" w:color="auto" w:fill="DAEEF3" w:themeFill="accent5" w:themeFillTint="33"/>
          </w:tcPr>
          <w:p w14:paraId="16F566EE" w14:textId="77777777" w:rsidR="00721149" w:rsidRPr="004E730D" w:rsidRDefault="00721149" w:rsidP="00721149">
            <w:pPr>
              <w:jc w:val="center"/>
              <w:rPr>
                <w:sz w:val="22"/>
                <w:szCs w:val="22"/>
              </w:rPr>
            </w:pPr>
            <w:r w:rsidRPr="004E730D">
              <w:rPr>
                <w:sz w:val="22"/>
                <w:szCs w:val="22"/>
              </w:rPr>
              <w:t>0,5</w:t>
            </w:r>
          </w:p>
        </w:tc>
        <w:tc>
          <w:tcPr>
            <w:tcW w:w="744" w:type="dxa"/>
            <w:shd w:val="clear" w:color="auto" w:fill="FDE9D9" w:themeFill="accent6" w:themeFillTint="33"/>
          </w:tcPr>
          <w:p w14:paraId="5F7A84D0" w14:textId="77777777" w:rsidR="00721149" w:rsidRPr="004E730D" w:rsidRDefault="00721149" w:rsidP="00721149">
            <w:pPr>
              <w:jc w:val="center"/>
              <w:rPr>
                <w:sz w:val="22"/>
                <w:szCs w:val="22"/>
              </w:rPr>
            </w:pPr>
            <w:r w:rsidRPr="004E730D">
              <w:rPr>
                <w:sz w:val="22"/>
                <w:szCs w:val="22"/>
              </w:rPr>
              <w:t>±</w:t>
            </w:r>
            <w:r>
              <w:rPr>
                <w:sz w:val="22"/>
                <w:szCs w:val="22"/>
              </w:rPr>
              <w:t>4</w:t>
            </w:r>
          </w:p>
        </w:tc>
        <w:tc>
          <w:tcPr>
            <w:tcW w:w="744" w:type="dxa"/>
            <w:shd w:val="clear" w:color="auto" w:fill="FDE9D9" w:themeFill="accent6" w:themeFillTint="33"/>
          </w:tcPr>
          <w:p w14:paraId="7A45FCEB" w14:textId="77777777" w:rsidR="00721149" w:rsidRPr="004E730D" w:rsidRDefault="00721149" w:rsidP="00721149">
            <w:pPr>
              <w:jc w:val="center"/>
              <w:rPr>
                <w:sz w:val="22"/>
                <w:szCs w:val="22"/>
              </w:rPr>
            </w:pPr>
            <w:r w:rsidRPr="004E730D">
              <w:rPr>
                <w:sz w:val="22"/>
                <w:szCs w:val="22"/>
              </w:rPr>
              <w:t>±</w:t>
            </w:r>
            <w:r>
              <w:rPr>
                <w:sz w:val="22"/>
                <w:szCs w:val="22"/>
              </w:rPr>
              <w:t>4</w:t>
            </w:r>
          </w:p>
        </w:tc>
        <w:tc>
          <w:tcPr>
            <w:tcW w:w="744" w:type="dxa"/>
            <w:shd w:val="clear" w:color="auto" w:fill="FDE9D9" w:themeFill="accent6" w:themeFillTint="33"/>
          </w:tcPr>
          <w:p w14:paraId="6A04D002" w14:textId="77777777" w:rsidR="00721149" w:rsidRPr="004E730D" w:rsidRDefault="00721149" w:rsidP="00721149">
            <w:pPr>
              <w:jc w:val="center"/>
              <w:rPr>
                <w:sz w:val="22"/>
                <w:szCs w:val="22"/>
              </w:rPr>
            </w:pPr>
            <w:r w:rsidRPr="004E730D">
              <w:rPr>
                <w:sz w:val="22"/>
                <w:szCs w:val="22"/>
              </w:rPr>
              <w:t>±</w:t>
            </w:r>
            <w:r>
              <w:rPr>
                <w:sz w:val="22"/>
                <w:szCs w:val="22"/>
              </w:rPr>
              <w:t>5</w:t>
            </w:r>
          </w:p>
        </w:tc>
        <w:tc>
          <w:tcPr>
            <w:tcW w:w="743" w:type="dxa"/>
            <w:shd w:val="clear" w:color="auto" w:fill="FDE9D9" w:themeFill="accent6" w:themeFillTint="33"/>
          </w:tcPr>
          <w:p w14:paraId="55ACDAAE" w14:textId="77777777" w:rsidR="00721149" w:rsidRPr="004E730D" w:rsidRDefault="00721149" w:rsidP="00721149">
            <w:pPr>
              <w:jc w:val="center"/>
              <w:rPr>
                <w:sz w:val="22"/>
                <w:szCs w:val="22"/>
              </w:rPr>
            </w:pPr>
            <w:r w:rsidRPr="004E730D">
              <w:rPr>
                <w:sz w:val="22"/>
                <w:szCs w:val="22"/>
              </w:rPr>
              <w:t>±</w:t>
            </w:r>
            <w:r>
              <w:rPr>
                <w:sz w:val="22"/>
                <w:szCs w:val="22"/>
              </w:rPr>
              <w:t>4</w:t>
            </w:r>
          </w:p>
        </w:tc>
        <w:tc>
          <w:tcPr>
            <w:tcW w:w="744" w:type="dxa"/>
            <w:shd w:val="clear" w:color="auto" w:fill="FDE9D9" w:themeFill="accent6" w:themeFillTint="33"/>
          </w:tcPr>
          <w:p w14:paraId="634E2C03" w14:textId="77777777" w:rsidR="00721149" w:rsidRPr="004E730D" w:rsidRDefault="00721149" w:rsidP="00721149">
            <w:pPr>
              <w:jc w:val="center"/>
              <w:rPr>
                <w:sz w:val="22"/>
                <w:szCs w:val="22"/>
              </w:rPr>
            </w:pPr>
            <w:r w:rsidRPr="004E730D">
              <w:rPr>
                <w:sz w:val="22"/>
                <w:szCs w:val="22"/>
              </w:rPr>
              <w:t>±</w:t>
            </w:r>
            <w:r>
              <w:rPr>
                <w:sz w:val="22"/>
                <w:szCs w:val="22"/>
              </w:rPr>
              <w:t>4</w:t>
            </w:r>
          </w:p>
        </w:tc>
        <w:tc>
          <w:tcPr>
            <w:tcW w:w="744" w:type="dxa"/>
            <w:shd w:val="clear" w:color="auto" w:fill="FDE9D9" w:themeFill="accent6" w:themeFillTint="33"/>
          </w:tcPr>
          <w:p w14:paraId="48FB5105" w14:textId="77777777" w:rsidR="00721149" w:rsidRPr="004E730D" w:rsidRDefault="00721149" w:rsidP="00721149">
            <w:pPr>
              <w:jc w:val="center"/>
              <w:rPr>
                <w:sz w:val="22"/>
                <w:szCs w:val="22"/>
              </w:rPr>
            </w:pPr>
            <w:r w:rsidRPr="004E730D">
              <w:rPr>
                <w:sz w:val="22"/>
                <w:szCs w:val="22"/>
              </w:rPr>
              <w:t>±</w:t>
            </w:r>
            <w:r>
              <w:rPr>
                <w:sz w:val="22"/>
                <w:szCs w:val="22"/>
              </w:rPr>
              <w:t>5</w:t>
            </w:r>
          </w:p>
        </w:tc>
        <w:tc>
          <w:tcPr>
            <w:tcW w:w="744" w:type="dxa"/>
            <w:shd w:val="clear" w:color="auto" w:fill="FDE9D9" w:themeFill="accent6" w:themeFillTint="33"/>
          </w:tcPr>
          <w:p w14:paraId="0033843B" w14:textId="1362FFC1" w:rsidR="00721149" w:rsidRPr="004E730D" w:rsidRDefault="00721149" w:rsidP="00721149">
            <w:pPr>
              <w:jc w:val="center"/>
              <w:rPr>
                <w:sz w:val="22"/>
                <w:szCs w:val="22"/>
              </w:rPr>
            </w:pPr>
            <w:r w:rsidRPr="004E730D">
              <w:rPr>
                <w:sz w:val="22"/>
                <w:szCs w:val="22"/>
              </w:rPr>
              <w:t>±</w:t>
            </w:r>
            <w:r>
              <w:rPr>
                <w:sz w:val="22"/>
                <w:szCs w:val="22"/>
              </w:rPr>
              <w:t>5</w:t>
            </w:r>
          </w:p>
        </w:tc>
        <w:tc>
          <w:tcPr>
            <w:tcW w:w="744" w:type="dxa"/>
            <w:shd w:val="clear" w:color="auto" w:fill="FDE9D9" w:themeFill="accent6" w:themeFillTint="33"/>
          </w:tcPr>
          <w:p w14:paraId="55E0D819" w14:textId="0C418FD6" w:rsidR="00721149" w:rsidRPr="004E730D" w:rsidRDefault="00721149" w:rsidP="00721149">
            <w:pPr>
              <w:jc w:val="center"/>
              <w:rPr>
                <w:sz w:val="22"/>
                <w:szCs w:val="22"/>
              </w:rPr>
            </w:pPr>
            <w:r w:rsidRPr="004E730D">
              <w:rPr>
                <w:sz w:val="22"/>
                <w:szCs w:val="22"/>
              </w:rPr>
              <w:t>±</w:t>
            </w:r>
            <w:r>
              <w:rPr>
                <w:sz w:val="22"/>
                <w:szCs w:val="22"/>
              </w:rPr>
              <w:t>5</w:t>
            </w:r>
          </w:p>
        </w:tc>
      </w:tr>
      <w:tr w:rsidR="00721149" w:rsidRPr="004E730D" w14:paraId="4905D76B" w14:textId="2DCF1B43" w:rsidTr="00F52AF8">
        <w:trPr>
          <w:jc w:val="center"/>
        </w:trPr>
        <w:tc>
          <w:tcPr>
            <w:tcW w:w="844" w:type="dxa"/>
            <w:shd w:val="clear" w:color="auto" w:fill="DAEEF3" w:themeFill="accent5" w:themeFillTint="33"/>
          </w:tcPr>
          <w:p w14:paraId="3D3F31EF" w14:textId="77777777" w:rsidR="00721149" w:rsidRPr="004E730D" w:rsidRDefault="00721149" w:rsidP="00721149">
            <w:pPr>
              <w:jc w:val="center"/>
              <w:rPr>
                <w:sz w:val="22"/>
                <w:szCs w:val="22"/>
              </w:rPr>
            </w:pPr>
            <w:r w:rsidRPr="004E730D">
              <w:rPr>
                <w:sz w:val="22"/>
                <w:szCs w:val="22"/>
              </w:rPr>
              <w:t>2</w:t>
            </w:r>
          </w:p>
        </w:tc>
        <w:tc>
          <w:tcPr>
            <w:tcW w:w="744" w:type="dxa"/>
            <w:shd w:val="clear" w:color="auto" w:fill="FDE9D9" w:themeFill="accent6" w:themeFillTint="33"/>
          </w:tcPr>
          <w:p w14:paraId="3C6B6E39" w14:textId="77777777" w:rsidR="00721149" w:rsidRPr="004E730D" w:rsidRDefault="00721149" w:rsidP="00721149">
            <w:pPr>
              <w:jc w:val="center"/>
              <w:rPr>
                <w:sz w:val="22"/>
                <w:szCs w:val="22"/>
              </w:rPr>
            </w:pPr>
            <w:r w:rsidRPr="004E730D">
              <w:rPr>
                <w:sz w:val="22"/>
                <w:szCs w:val="22"/>
              </w:rPr>
              <w:t>±</w:t>
            </w:r>
            <w:r>
              <w:rPr>
                <w:sz w:val="22"/>
                <w:szCs w:val="22"/>
              </w:rPr>
              <w:t>6</w:t>
            </w:r>
          </w:p>
        </w:tc>
        <w:tc>
          <w:tcPr>
            <w:tcW w:w="744" w:type="dxa"/>
            <w:shd w:val="clear" w:color="auto" w:fill="FDE9D9" w:themeFill="accent6" w:themeFillTint="33"/>
          </w:tcPr>
          <w:p w14:paraId="007056BB" w14:textId="77777777" w:rsidR="00721149" w:rsidRPr="004E730D" w:rsidRDefault="00721149" w:rsidP="00721149">
            <w:pPr>
              <w:jc w:val="center"/>
              <w:rPr>
                <w:sz w:val="22"/>
                <w:szCs w:val="22"/>
              </w:rPr>
            </w:pPr>
            <w:r w:rsidRPr="004E730D">
              <w:rPr>
                <w:sz w:val="22"/>
                <w:szCs w:val="22"/>
              </w:rPr>
              <w:t>±</w:t>
            </w:r>
            <w:r>
              <w:rPr>
                <w:sz w:val="22"/>
                <w:szCs w:val="22"/>
              </w:rPr>
              <w:t>6</w:t>
            </w:r>
          </w:p>
        </w:tc>
        <w:tc>
          <w:tcPr>
            <w:tcW w:w="744" w:type="dxa"/>
            <w:shd w:val="clear" w:color="auto" w:fill="FDE9D9" w:themeFill="accent6" w:themeFillTint="33"/>
          </w:tcPr>
          <w:p w14:paraId="70BBE520" w14:textId="77777777" w:rsidR="00721149" w:rsidRPr="004E730D" w:rsidRDefault="00721149" w:rsidP="00721149">
            <w:pPr>
              <w:jc w:val="center"/>
              <w:rPr>
                <w:sz w:val="22"/>
                <w:szCs w:val="22"/>
              </w:rPr>
            </w:pPr>
            <w:r w:rsidRPr="004E730D">
              <w:rPr>
                <w:sz w:val="22"/>
                <w:szCs w:val="22"/>
              </w:rPr>
              <w:t>±</w:t>
            </w:r>
            <w:r>
              <w:rPr>
                <w:sz w:val="22"/>
                <w:szCs w:val="22"/>
              </w:rPr>
              <w:t>7</w:t>
            </w:r>
          </w:p>
        </w:tc>
        <w:tc>
          <w:tcPr>
            <w:tcW w:w="743" w:type="dxa"/>
            <w:shd w:val="clear" w:color="auto" w:fill="FDE9D9" w:themeFill="accent6" w:themeFillTint="33"/>
          </w:tcPr>
          <w:p w14:paraId="7351E85F" w14:textId="77777777" w:rsidR="00721149" w:rsidRPr="004E730D" w:rsidRDefault="00721149" w:rsidP="00721149">
            <w:pPr>
              <w:jc w:val="center"/>
              <w:rPr>
                <w:sz w:val="22"/>
                <w:szCs w:val="22"/>
              </w:rPr>
            </w:pPr>
            <w:r w:rsidRPr="004E730D">
              <w:rPr>
                <w:sz w:val="22"/>
                <w:szCs w:val="22"/>
              </w:rPr>
              <w:t>±</w:t>
            </w:r>
            <w:r>
              <w:rPr>
                <w:sz w:val="22"/>
                <w:szCs w:val="22"/>
              </w:rPr>
              <w:t>6</w:t>
            </w:r>
          </w:p>
        </w:tc>
        <w:tc>
          <w:tcPr>
            <w:tcW w:w="744" w:type="dxa"/>
            <w:shd w:val="clear" w:color="auto" w:fill="FDE9D9" w:themeFill="accent6" w:themeFillTint="33"/>
          </w:tcPr>
          <w:p w14:paraId="284C7189" w14:textId="77777777" w:rsidR="00721149" w:rsidRPr="004E730D" w:rsidRDefault="00721149" w:rsidP="00721149">
            <w:pPr>
              <w:jc w:val="center"/>
              <w:rPr>
                <w:sz w:val="22"/>
                <w:szCs w:val="22"/>
              </w:rPr>
            </w:pPr>
            <w:r w:rsidRPr="004E730D">
              <w:rPr>
                <w:sz w:val="22"/>
                <w:szCs w:val="22"/>
              </w:rPr>
              <w:t>±</w:t>
            </w:r>
            <w:r>
              <w:rPr>
                <w:sz w:val="22"/>
                <w:szCs w:val="22"/>
              </w:rPr>
              <w:t>6</w:t>
            </w:r>
          </w:p>
        </w:tc>
        <w:tc>
          <w:tcPr>
            <w:tcW w:w="744" w:type="dxa"/>
            <w:shd w:val="clear" w:color="auto" w:fill="FDE9D9" w:themeFill="accent6" w:themeFillTint="33"/>
          </w:tcPr>
          <w:p w14:paraId="17AC5356" w14:textId="77777777" w:rsidR="00721149" w:rsidRPr="004E730D" w:rsidRDefault="00721149" w:rsidP="00721149">
            <w:pPr>
              <w:jc w:val="center"/>
              <w:rPr>
                <w:sz w:val="22"/>
                <w:szCs w:val="22"/>
              </w:rPr>
            </w:pPr>
            <w:r w:rsidRPr="004E730D">
              <w:rPr>
                <w:sz w:val="22"/>
                <w:szCs w:val="22"/>
              </w:rPr>
              <w:t>±</w:t>
            </w:r>
            <w:r>
              <w:rPr>
                <w:sz w:val="22"/>
                <w:szCs w:val="22"/>
              </w:rPr>
              <w:t>7</w:t>
            </w:r>
          </w:p>
        </w:tc>
        <w:tc>
          <w:tcPr>
            <w:tcW w:w="744" w:type="dxa"/>
            <w:shd w:val="clear" w:color="auto" w:fill="FDE9D9" w:themeFill="accent6" w:themeFillTint="33"/>
          </w:tcPr>
          <w:p w14:paraId="5328CE03" w14:textId="57FA50AD" w:rsidR="00721149" w:rsidRPr="004E730D" w:rsidRDefault="00721149" w:rsidP="00721149">
            <w:pPr>
              <w:jc w:val="center"/>
              <w:rPr>
                <w:sz w:val="22"/>
                <w:szCs w:val="22"/>
              </w:rPr>
            </w:pPr>
            <w:r w:rsidRPr="004E730D">
              <w:rPr>
                <w:sz w:val="22"/>
                <w:szCs w:val="22"/>
              </w:rPr>
              <w:t>±</w:t>
            </w:r>
            <w:r>
              <w:rPr>
                <w:sz w:val="22"/>
                <w:szCs w:val="22"/>
              </w:rPr>
              <w:t>7</w:t>
            </w:r>
          </w:p>
        </w:tc>
        <w:tc>
          <w:tcPr>
            <w:tcW w:w="744" w:type="dxa"/>
            <w:shd w:val="clear" w:color="auto" w:fill="FDE9D9" w:themeFill="accent6" w:themeFillTint="33"/>
          </w:tcPr>
          <w:p w14:paraId="7D55AD8E" w14:textId="4A37AFFA" w:rsidR="00721149" w:rsidRPr="004E730D" w:rsidRDefault="00721149" w:rsidP="00721149">
            <w:pPr>
              <w:jc w:val="center"/>
              <w:rPr>
                <w:sz w:val="22"/>
                <w:szCs w:val="22"/>
              </w:rPr>
            </w:pPr>
            <w:r w:rsidRPr="004E730D">
              <w:rPr>
                <w:sz w:val="22"/>
                <w:szCs w:val="22"/>
              </w:rPr>
              <w:t>±</w:t>
            </w:r>
            <w:r>
              <w:rPr>
                <w:sz w:val="22"/>
                <w:szCs w:val="22"/>
              </w:rPr>
              <w:t>7</w:t>
            </w:r>
          </w:p>
        </w:tc>
      </w:tr>
      <w:tr w:rsidR="00721149" w:rsidRPr="004E730D" w14:paraId="0CCBC0A6" w14:textId="5AF02715" w:rsidTr="00F52AF8">
        <w:trPr>
          <w:jc w:val="center"/>
        </w:trPr>
        <w:tc>
          <w:tcPr>
            <w:tcW w:w="844" w:type="dxa"/>
            <w:shd w:val="clear" w:color="auto" w:fill="DAEEF3" w:themeFill="accent5" w:themeFillTint="33"/>
          </w:tcPr>
          <w:p w14:paraId="00260129" w14:textId="77777777" w:rsidR="00721149" w:rsidRPr="004E730D" w:rsidRDefault="00721149" w:rsidP="00721149">
            <w:pPr>
              <w:jc w:val="center"/>
              <w:rPr>
                <w:sz w:val="22"/>
                <w:szCs w:val="22"/>
              </w:rPr>
            </w:pPr>
            <w:r w:rsidRPr="004E730D">
              <w:rPr>
                <w:sz w:val="22"/>
                <w:szCs w:val="22"/>
              </w:rPr>
              <w:t>4</w:t>
            </w:r>
          </w:p>
        </w:tc>
        <w:tc>
          <w:tcPr>
            <w:tcW w:w="744" w:type="dxa"/>
            <w:shd w:val="clear" w:color="auto" w:fill="FDE9D9" w:themeFill="accent6" w:themeFillTint="33"/>
          </w:tcPr>
          <w:p w14:paraId="4D073AD7" w14:textId="77777777" w:rsidR="00721149" w:rsidRPr="004E730D" w:rsidRDefault="00721149" w:rsidP="00721149">
            <w:pPr>
              <w:jc w:val="center"/>
              <w:rPr>
                <w:sz w:val="22"/>
                <w:szCs w:val="22"/>
              </w:rPr>
            </w:pPr>
            <w:r w:rsidRPr="004E730D">
              <w:rPr>
                <w:sz w:val="22"/>
                <w:szCs w:val="22"/>
              </w:rPr>
              <w:t>±</w:t>
            </w:r>
            <w:r>
              <w:rPr>
                <w:sz w:val="22"/>
                <w:szCs w:val="22"/>
              </w:rPr>
              <w:t>7</w:t>
            </w:r>
          </w:p>
        </w:tc>
        <w:tc>
          <w:tcPr>
            <w:tcW w:w="744" w:type="dxa"/>
            <w:shd w:val="clear" w:color="auto" w:fill="FDE9D9" w:themeFill="accent6" w:themeFillTint="33"/>
          </w:tcPr>
          <w:p w14:paraId="296925BF" w14:textId="1BE3A66A" w:rsidR="00721149" w:rsidRPr="004E730D" w:rsidRDefault="00721149" w:rsidP="00721149">
            <w:pPr>
              <w:jc w:val="center"/>
              <w:rPr>
                <w:sz w:val="22"/>
                <w:szCs w:val="22"/>
              </w:rPr>
            </w:pPr>
            <w:r>
              <w:rPr>
                <w:sz w:val="22"/>
                <w:szCs w:val="22"/>
              </w:rPr>
              <w:t>-</w:t>
            </w:r>
          </w:p>
        </w:tc>
        <w:tc>
          <w:tcPr>
            <w:tcW w:w="744" w:type="dxa"/>
            <w:shd w:val="clear" w:color="auto" w:fill="FDE9D9" w:themeFill="accent6" w:themeFillTint="33"/>
          </w:tcPr>
          <w:p w14:paraId="41D9D7DE" w14:textId="77777777" w:rsidR="00721149" w:rsidRPr="004E730D" w:rsidRDefault="00721149" w:rsidP="00721149">
            <w:pPr>
              <w:jc w:val="center"/>
              <w:rPr>
                <w:sz w:val="22"/>
                <w:szCs w:val="22"/>
              </w:rPr>
            </w:pPr>
            <w:r w:rsidRPr="004E730D">
              <w:rPr>
                <w:sz w:val="22"/>
                <w:szCs w:val="22"/>
              </w:rPr>
              <w:t>-</w:t>
            </w:r>
          </w:p>
        </w:tc>
        <w:tc>
          <w:tcPr>
            <w:tcW w:w="743" w:type="dxa"/>
            <w:shd w:val="clear" w:color="auto" w:fill="FDE9D9" w:themeFill="accent6" w:themeFillTint="33"/>
          </w:tcPr>
          <w:p w14:paraId="5D3B446D" w14:textId="77777777" w:rsidR="00721149" w:rsidRPr="004E730D" w:rsidRDefault="00721149" w:rsidP="00721149">
            <w:pPr>
              <w:jc w:val="center"/>
              <w:rPr>
                <w:sz w:val="22"/>
                <w:szCs w:val="22"/>
              </w:rPr>
            </w:pPr>
            <w:r w:rsidRPr="004E730D">
              <w:rPr>
                <w:sz w:val="22"/>
                <w:szCs w:val="22"/>
              </w:rPr>
              <w:t>±</w:t>
            </w:r>
            <w:r>
              <w:rPr>
                <w:sz w:val="22"/>
                <w:szCs w:val="22"/>
              </w:rPr>
              <w:t>7</w:t>
            </w:r>
          </w:p>
        </w:tc>
        <w:tc>
          <w:tcPr>
            <w:tcW w:w="744" w:type="dxa"/>
            <w:shd w:val="clear" w:color="auto" w:fill="FDE9D9" w:themeFill="accent6" w:themeFillTint="33"/>
          </w:tcPr>
          <w:p w14:paraId="45BCEF33" w14:textId="77777777" w:rsidR="00721149" w:rsidRPr="004E730D" w:rsidRDefault="00721149" w:rsidP="00721149">
            <w:pPr>
              <w:jc w:val="center"/>
              <w:rPr>
                <w:sz w:val="22"/>
                <w:szCs w:val="22"/>
              </w:rPr>
            </w:pPr>
            <w:r w:rsidRPr="004E730D">
              <w:rPr>
                <w:sz w:val="22"/>
                <w:szCs w:val="22"/>
              </w:rPr>
              <w:t>-</w:t>
            </w:r>
          </w:p>
        </w:tc>
        <w:tc>
          <w:tcPr>
            <w:tcW w:w="744" w:type="dxa"/>
            <w:shd w:val="clear" w:color="auto" w:fill="FDE9D9" w:themeFill="accent6" w:themeFillTint="33"/>
          </w:tcPr>
          <w:p w14:paraId="7C315D0D" w14:textId="77777777" w:rsidR="00721149" w:rsidRPr="004E730D" w:rsidRDefault="00721149" w:rsidP="00721149">
            <w:pPr>
              <w:jc w:val="center"/>
              <w:rPr>
                <w:sz w:val="22"/>
                <w:szCs w:val="22"/>
              </w:rPr>
            </w:pPr>
            <w:r w:rsidRPr="004E730D">
              <w:rPr>
                <w:sz w:val="22"/>
                <w:szCs w:val="22"/>
              </w:rPr>
              <w:t>-</w:t>
            </w:r>
          </w:p>
        </w:tc>
        <w:tc>
          <w:tcPr>
            <w:tcW w:w="744" w:type="dxa"/>
            <w:shd w:val="clear" w:color="auto" w:fill="FDE9D9" w:themeFill="accent6" w:themeFillTint="33"/>
          </w:tcPr>
          <w:p w14:paraId="0849D529" w14:textId="38F5D437" w:rsidR="00721149" w:rsidRPr="004E730D" w:rsidRDefault="00721149" w:rsidP="00721149">
            <w:pPr>
              <w:jc w:val="center"/>
              <w:rPr>
                <w:sz w:val="22"/>
                <w:szCs w:val="22"/>
              </w:rPr>
            </w:pPr>
            <w:r w:rsidRPr="004E730D">
              <w:rPr>
                <w:sz w:val="22"/>
                <w:szCs w:val="22"/>
              </w:rPr>
              <w:t>-</w:t>
            </w:r>
          </w:p>
        </w:tc>
        <w:tc>
          <w:tcPr>
            <w:tcW w:w="744" w:type="dxa"/>
            <w:shd w:val="clear" w:color="auto" w:fill="FDE9D9" w:themeFill="accent6" w:themeFillTint="33"/>
          </w:tcPr>
          <w:p w14:paraId="4A182C44" w14:textId="5566DC3E" w:rsidR="00721149" w:rsidRPr="004E730D" w:rsidRDefault="00721149" w:rsidP="00721149">
            <w:pPr>
              <w:jc w:val="center"/>
              <w:rPr>
                <w:sz w:val="22"/>
                <w:szCs w:val="22"/>
              </w:rPr>
            </w:pPr>
            <w:r w:rsidRPr="004E730D">
              <w:rPr>
                <w:sz w:val="22"/>
                <w:szCs w:val="22"/>
              </w:rPr>
              <w:t>-</w:t>
            </w:r>
          </w:p>
        </w:tc>
      </w:tr>
      <w:tr w:rsidR="00721149" w:rsidRPr="004E730D" w14:paraId="1587B98C" w14:textId="1C670C2A" w:rsidTr="00F52AF8">
        <w:trPr>
          <w:jc w:val="center"/>
        </w:trPr>
        <w:tc>
          <w:tcPr>
            <w:tcW w:w="844" w:type="dxa"/>
            <w:shd w:val="clear" w:color="auto" w:fill="DAEEF3" w:themeFill="accent5" w:themeFillTint="33"/>
          </w:tcPr>
          <w:p w14:paraId="7FAA5CC5" w14:textId="77777777" w:rsidR="00721149" w:rsidRPr="004E730D" w:rsidRDefault="00721149" w:rsidP="00721149">
            <w:pPr>
              <w:jc w:val="center"/>
              <w:rPr>
                <w:sz w:val="22"/>
                <w:szCs w:val="22"/>
              </w:rPr>
            </w:pPr>
            <w:r w:rsidRPr="004E730D">
              <w:rPr>
                <w:sz w:val="22"/>
                <w:szCs w:val="22"/>
              </w:rPr>
              <w:t>5,6</w:t>
            </w:r>
          </w:p>
        </w:tc>
        <w:tc>
          <w:tcPr>
            <w:tcW w:w="744" w:type="dxa"/>
            <w:shd w:val="clear" w:color="auto" w:fill="FDE9D9" w:themeFill="accent6" w:themeFillTint="33"/>
          </w:tcPr>
          <w:p w14:paraId="45B5E1CF" w14:textId="16A03A27" w:rsidR="00721149" w:rsidRPr="004E730D" w:rsidRDefault="00721149" w:rsidP="00721149">
            <w:pPr>
              <w:jc w:val="center"/>
              <w:rPr>
                <w:sz w:val="22"/>
                <w:szCs w:val="22"/>
              </w:rPr>
            </w:pPr>
            <w:r>
              <w:rPr>
                <w:sz w:val="22"/>
                <w:szCs w:val="22"/>
              </w:rPr>
              <w:t>-</w:t>
            </w:r>
          </w:p>
        </w:tc>
        <w:tc>
          <w:tcPr>
            <w:tcW w:w="744" w:type="dxa"/>
            <w:shd w:val="clear" w:color="auto" w:fill="FDE9D9" w:themeFill="accent6" w:themeFillTint="33"/>
          </w:tcPr>
          <w:p w14:paraId="6DA49FEF" w14:textId="77777777" w:rsidR="00721149" w:rsidRPr="004E730D" w:rsidRDefault="00721149" w:rsidP="00721149">
            <w:pPr>
              <w:jc w:val="center"/>
              <w:rPr>
                <w:sz w:val="22"/>
                <w:szCs w:val="22"/>
              </w:rPr>
            </w:pPr>
            <w:r w:rsidRPr="004E730D">
              <w:rPr>
                <w:sz w:val="22"/>
                <w:szCs w:val="22"/>
              </w:rPr>
              <w:t>±</w:t>
            </w:r>
            <w:r>
              <w:rPr>
                <w:sz w:val="22"/>
                <w:szCs w:val="22"/>
              </w:rPr>
              <w:t>7</w:t>
            </w:r>
          </w:p>
        </w:tc>
        <w:tc>
          <w:tcPr>
            <w:tcW w:w="744" w:type="dxa"/>
            <w:shd w:val="clear" w:color="auto" w:fill="FDE9D9" w:themeFill="accent6" w:themeFillTint="33"/>
          </w:tcPr>
          <w:p w14:paraId="5F987694" w14:textId="0037D395" w:rsidR="00721149" w:rsidRPr="004E730D" w:rsidRDefault="00721149" w:rsidP="00721149">
            <w:pPr>
              <w:jc w:val="center"/>
              <w:rPr>
                <w:sz w:val="22"/>
                <w:szCs w:val="22"/>
              </w:rPr>
            </w:pPr>
            <w:r>
              <w:rPr>
                <w:sz w:val="22"/>
                <w:szCs w:val="22"/>
              </w:rPr>
              <w:t>-</w:t>
            </w:r>
          </w:p>
        </w:tc>
        <w:tc>
          <w:tcPr>
            <w:tcW w:w="743" w:type="dxa"/>
            <w:shd w:val="clear" w:color="auto" w:fill="FDE9D9" w:themeFill="accent6" w:themeFillTint="33"/>
          </w:tcPr>
          <w:p w14:paraId="7709F530" w14:textId="77777777" w:rsidR="00721149" w:rsidRPr="004E730D" w:rsidRDefault="00721149" w:rsidP="00721149">
            <w:pPr>
              <w:jc w:val="center"/>
              <w:rPr>
                <w:sz w:val="22"/>
                <w:szCs w:val="22"/>
              </w:rPr>
            </w:pPr>
            <w:r w:rsidRPr="004E730D">
              <w:rPr>
                <w:sz w:val="22"/>
                <w:szCs w:val="22"/>
              </w:rPr>
              <w:t>-</w:t>
            </w:r>
          </w:p>
        </w:tc>
        <w:tc>
          <w:tcPr>
            <w:tcW w:w="744" w:type="dxa"/>
            <w:shd w:val="clear" w:color="auto" w:fill="FDE9D9" w:themeFill="accent6" w:themeFillTint="33"/>
          </w:tcPr>
          <w:p w14:paraId="54102214" w14:textId="77777777" w:rsidR="00721149" w:rsidRPr="004E730D" w:rsidRDefault="00721149" w:rsidP="00721149">
            <w:pPr>
              <w:jc w:val="center"/>
              <w:rPr>
                <w:sz w:val="22"/>
                <w:szCs w:val="22"/>
              </w:rPr>
            </w:pPr>
            <w:r w:rsidRPr="004E730D">
              <w:rPr>
                <w:sz w:val="22"/>
                <w:szCs w:val="22"/>
              </w:rPr>
              <w:t>±</w:t>
            </w:r>
            <w:r>
              <w:rPr>
                <w:sz w:val="22"/>
                <w:szCs w:val="22"/>
              </w:rPr>
              <w:t>7</w:t>
            </w:r>
          </w:p>
        </w:tc>
        <w:tc>
          <w:tcPr>
            <w:tcW w:w="744" w:type="dxa"/>
            <w:shd w:val="clear" w:color="auto" w:fill="FDE9D9" w:themeFill="accent6" w:themeFillTint="33"/>
          </w:tcPr>
          <w:p w14:paraId="09F84BFC" w14:textId="77777777" w:rsidR="00721149" w:rsidRPr="004E730D" w:rsidRDefault="00721149" w:rsidP="00721149">
            <w:pPr>
              <w:jc w:val="center"/>
              <w:rPr>
                <w:sz w:val="22"/>
                <w:szCs w:val="22"/>
              </w:rPr>
            </w:pPr>
            <w:r w:rsidRPr="004E730D">
              <w:rPr>
                <w:sz w:val="22"/>
                <w:szCs w:val="22"/>
              </w:rPr>
              <w:t>-</w:t>
            </w:r>
          </w:p>
        </w:tc>
        <w:tc>
          <w:tcPr>
            <w:tcW w:w="744" w:type="dxa"/>
            <w:shd w:val="clear" w:color="auto" w:fill="FDE9D9" w:themeFill="accent6" w:themeFillTint="33"/>
          </w:tcPr>
          <w:p w14:paraId="29E9BDF5" w14:textId="732E0EC8" w:rsidR="00721149" w:rsidRPr="004E730D" w:rsidRDefault="00721149" w:rsidP="00721149">
            <w:pPr>
              <w:jc w:val="center"/>
              <w:rPr>
                <w:sz w:val="22"/>
                <w:szCs w:val="22"/>
              </w:rPr>
            </w:pPr>
            <w:r>
              <w:rPr>
                <w:sz w:val="22"/>
                <w:szCs w:val="22"/>
              </w:rPr>
              <w:t>-</w:t>
            </w:r>
          </w:p>
        </w:tc>
        <w:tc>
          <w:tcPr>
            <w:tcW w:w="744" w:type="dxa"/>
            <w:shd w:val="clear" w:color="auto" w:fill="FDE9D9" w:themeFill="accent6" w:themeFillTint="33"/>
          </w:tcPr>
          <w:p w14:paraId="384A6A78" w14:textId="48FA04D1" w:rsidR="00721149" w:rsidRPr="004E730D" w:rsidRDefault="00721149" w:rsidP="00721149">
            <w:pPr>
              <w:jc w:val="center"/>
              <w:rPr>
                <w:sz w:val="22"/>
                <w:szCs w:val="22"/>
              </w:rPr>
            </w:pPr>
            <w:r>
              <w:rPr>
                <w:sz w:val="22"/>
                <w:szCs w:val="22"/>
              </w:rPr>
              <w:t>-</w:t>
            </w:r>
          </w:p>
        </w:tc>
      </w:tr>
      <w:tr w:rsidR="00721149" w:rsidRPr="004E730D" w14:paraId="751D7EC5" w14:textId="19E354D0" w:rsidTr="00F52AF8">
        <w:trPr>
          <w:jc w:val="center"/>
        </w:trPr>
        <w:tc>
          <w:tcPr>
            <w:tcW w:w="844" w:type="dxa"/>
            <w:shd w:val="clear" w:color="auto" w:fill="DAEEF3" w:themeFill="accent5" w:themeFillTint="33"/>
          </w:tcPr>
          <w:p w14:paraId="12E5EFC7" w14:textId="77777777" w:rsidR="00721149" w:rsidRPr="004E730D" w:rsidRDefault="00721149" w:rsidP="00721149">
            <w:pPr>
              <w:jc w:val="center"/>
              <w:rPr>
                <w:sz w:val="22"/>
                <w:szCs w:val="22"/>
              </w:rPr>
            </w:pPr>
            <w:r w:rsidRPr="004E730D">
              <w:rPr>
                <w:sz w:val="22"/>
                <w:szCs w:val="22"/>
              </w:rPr>
              <w:t>8</w:t>
            </w:r>
          </w:p>
        </w:tc>
        <w:tc>
          <w:tcPr>
            <w:tcW w:w="744" w:type="dxa"/>
            <w:shd w:val="clear" w:color="auto" w:fill="FDE9D9" w:themeFill="accent6" w:themeFillTint="33"/>
          </w:tcPr>
          <w:p w14:paraId="1A2C5673" w14:textId="77777777" w:rsidR="00721149" w:rsidRPr="004E730D" w:rsidRDefault="00721149" w:rsidP="00721149">
            <w:pPr>
              <w:jc w:val="center"/>
              <w:rPr>
                <w:sz w:val="22"/>
                <w:szCs w:val="22"/>
              </w:rPr>
            </w:pPr>
            <w:r w:rsidRPr="004E730D">
              <w:rPr>
                <w:sz w:val="22"/>
                <w:szCs w:val="22"/>
              </w:rPr>
              <w:t>-</w:t>
            </w:r>
            <w:r>
              <w:rPr>
                <w:sz w:val="22"/>
                <w:szCs w:val="22"/>
              </w:rPr>
              <w:t>8 +5</w:t>
            </w:r>
          </w:p>
        </w:tc>
        <w:tc>
          <w:tcPr>
            <w:tcW w:w="744" w:type="dxa"/>
            <w:shd w:val="clear" w:color="auto" w:fill="FDE9D9" w:themeFill="accent6" w:themeFillTint="33"/>
          </w:tcPr>
          <w:p w14:paraId="31FD3340" w14:textId="0773E57C" w:rsidR="00721149" w:rsidRPr="004E730D" w:rsidRDefault="00721149" w:rsidP="00721149">
            <w:pPr>
              <w:jc w:val="center"/>
              <w:rPr>
                <w:sz w:val="22"/>
                <w:szCs w:val="22"/>
              </w:rPr>
            </w:pPr>
            <w:r>
              <w:rPr>
                <w:sz w:val="22"/>
                <w:szCs w:val="22"/>
              </w:rPr>
              <w:t>-</w:t>
            </w:r>
          </w:p>
        </w:tc>
        <w:tc>
          <w:tcPr>
            <w:tcW w:w="744" w:type="dxa"/>
            <w:shd w:val="clear" w:color="auto" w:fill="FDE9D9" w:themeFill="accent6" w:themeFillTint="33"/>
          </w:tcPr>
          <w:p w14:paraId="59A3DDF0" w14:textId="77777777" w:rsidR="00721149" w:rsidRPr="004E730D" w:rsidRDefault="00721149" w:rsidP="00721149">
            <w:pPr>
              <w:jc w:val="center"/>
              <w:rPr>
                <w:sz w:val="22"/>
                <w:szCs w:val="22"/>
              </w:rPr>
            </w:pPr>
            <w:r w:rsidRPr="004E730D">
              <w:rPr>
                <w:sz w:val="22"/>
                <w:szCs w:val="22"/>
              </w:rPr>
              <w:t>±</w:t>
            </w:r>
            <w:r>
              <w:rPr>
                <w:sz w:val="22"/>
                <w:szCs w:val="22"/>
              </w:rPr>
              <w:t>9</w:t>
            </w:r>
          </w:p>
        </w:tc>
        <w:tc>
          <w:tcPr>
            <w:tcW w:w="743" w:type="dxa"/>
            <w:shd w:val="clear" w:color="auto" w:fill="FDE9D9" w:themeFill="accent6" w:themeFillTint="33"/>
          </w:tcPr>
          <w:p w14:paraId="7E862929" w14:textId="77777777" w:rsidR="00721149" w:rsidRPr="004E730D" w:rsidRDefault="00721149" w:rsidP="00721149">
            <w:pPr>
              <w:jc w:val="center"/>
              <w:rPr>
                <w:sz w:val="22"/>
                <w:szCs w:val="22"/>
              </w:rPr>
            </w:pPr>
            <w:r>
              <w:rPr>
                <w:sz w:val="22"/>
                <w:szCs w:val="22"/>
              </w:rPr>
              <w:t>8 +5</w:t>
            </w:r>
          </w:p>
        </w:tc>
        <w:tc>
          <w:tcPr>
            <w:tcW w:w="744" w:type="dxa"/>
            <w:shd w:val="clear" w:color="auto" w:fill="FDE9D9" w:themeFill="accent6" w:themeFillTint="33"/>
          </w:tcPr>
          <w:p w14:paraId="7BE5F616" w14:textId="61A7DF8B" w:rsidR="00721149" w:rsidRPr="004E730D" w:rsidRDefault="00721149" w:rsidP="00721149">
            <w:pPr>
              <w:jc w:val="center"/>
              <w:rPr>
                <w:sz w:val="22"/>
                <w:szCs w:val="22"/>
              </w:rPr>
            </w:pPr>
            <w:r>
              <w:rPr>
                <w:sz w:val="22"/>
                <w:szCs w:val="22"/>
              </w:rPr>
              <w:t>-</w:t>
            </w:r>
          </w:p>
        </w:tc>
        <w:tc>
          <w:tcPr>
            <w:tcW w:w="744" w:type="dxa"/>
            <w:shd w:val="clear" w:color="auto" w:fill="FDE9D9" w:themeFill="accent6" w:themeFillTint="33"/>
          </w:tcPr>
          <w:p w14:paraId="401EB549" w14:textId="77777777" w:rsidR="00721149" w:rsidRPr="004E730D" w:rsidRDefault="00721149" w:rsidP="00721149">
            <w:pPr>
              <w:jc w:val="center"/>
              <w:rPr>
                <w:sz w:val="22"/>
                <w:szCs w:val="22"/>
              </w:rPr>
            </w:pPr>
            <w:r w:rsidRPr="004E730D">
              <w:rPr>
                <w:sz w:val="22"/>
                <w:szCs w:val="22"/>
              </w:rPr>
              <w:t>±</w:t>
            </w:r>
            <w:r>
              <w:rPr>
                <w:sz w:val="22"/>
                <w:szCs w:val="22"/>
              </w:rPr>
              <w:t>9</w:t>
            </w:r>
          </w:p>
        </w:tc>
        <w:tc>
          <w:tcPr>
            <w:tcW w:w="744" w:type="dxa"/>
            <w:shd w:val="clear" w:color="auto" w:fill="FDE9D9" w:themeFill="accent6" w:themeFillTint="33"/>
          </w:tcPr>
          <w:p w14:paraId="4F27B87B" w14:textId="49DB13E0" w:rsidR="00721149" w:rsidRPr="004E730D" w:rsidRDefault="00721149" w:rsidP="00721149">
            <w:pPr>
              <w:jc w:val="center"/>
              <w:rPr>
                <w:sz w:val="22"/>
                <w:szCs w:val="22"/>
              </w:rPr>
            </w:pPr>
            <w:r w:rsidRPr="004E730D">
              <w:rPr>
                <w:sz w:val="22"/>
                <w:szCs w:val="22"/>
              </w:rPr>
              <w:t>±</w:t>
            </w:r>
            <w:r>
              <w:rPr>
                <w:sz w:val="22"/>
                <w:szCs w:val="22"/>
              </w:rPr>
              <w:t>9</w:t>
            </w:r>
          </w:p>
        </w:tc>
        <w:tc>
          <w:tcPr>
            <w:tcW w:w="744" w:type="dxa"/>
            <w:shd w:val="clear" w:color="auto" w:fill="FDE9D9" w:themeFill="accent6" w:themeFillTint="33"/>
          </w:tcPr>
          <w:p w14:paraId="41397386" w14:textId="3A97B100" w:rsidR="00721149" w:rsidRPr="004E730D" w:rsidRDefault="00721149" w:rsidP="00721149">
            <w:pPr>
              <w:jc w:val="center"/>
              <w:rPr>
                <w:sz w:val="22"/>
                <w:szCs w:val="22"/>
              </w:rPr>
            </w:pPr>
            <w:r>
              <w:rPr>
                <w:sz w:val="22"/>
                <w:szCs w:val="22"/>
              </w:rPr>
              <w:t>-</w:t>
            </w:r>
          </w:p>
        </w:tc>
      </w:tr>
      <w:tr w:rsidR="00721149" w:rsidRPr="004E730D" w14:paraId="0BFFAA96" w14:textId="5411ABDA" w:rsidTr="00F52AF8">
        <w:trPr>
          <w:jc w:val="center"/>
        </w:trPr>
        <w:tc>
          <w:tcPr>
            <w:tcW w:w="844" w:type="dxa"/>
            <w:shd w:val="clear" w:color="auto" w:fill="DAEEF3" w:themeFill="accent5" w:themeFillTint="33"/>
          </w:tcPr>
          <w:p w14:paraId="07952FD3" w14:textId="77777777" w:rsidR="00721149" w:rsidRPr="004E730D" w:rsidRDefault="00721149" w:rsidP="00721149">
            <w:pPr>
              <w:jc w:val="center"/>
              <w:rPr>
                <w:sz w:val="22"/>
                <w:szCs w:val="22"/>
              </w:rPr>
            </w:pPr>
            <w:r w:rsidRPr="004E730D">
              <w:rPr>
                <w:sz w:val="22"/>
                <w:szCs w:val="22"/>
              </w:rPr>
              <w:t>11</w:t>
            </w:r>
          </w:p>
        </w:tc>
        <w:tc>
          <w:tcPr>
            <w:tcW w:w="744" w:type="dxa"/>
            <w:shd w:val="clear" w:color="auto" w:fill="FDE9D9" w:themeFill="accent6" w:themeFillTint="33"/>
          </w:tcPr>
          <w:p w14:paraId="015866A1" w14:textId="1734A8D8" w:rsidR="00721149" w:rsidRPr="004E730D" w:rsidRDefault="00721149" w:rsidP="00721149">
            <w:pPr>
              <w:jc w:val="center"/>
              <w:rPr>
                <w:sz w:val="22"/>
                <w:szCs w:val="22"/>
              </w:rPr>
            </w:pPr>
            <w:r>
              <w:rPr>
                <w:sz w:val="22"/>
                <w:szCs w:val="22"/>
              </w:rPr>
              <w:t>-2*</w:t>
            </w:r>
          </w:p>
        </w:tc>
        <w:tc>
          <w:tcPr>
            <w:tcW w:w="744" w:type="dxa"/>
            <w:shd w:val="clear" w:color="auto" w:fill="FDE9D9" w:themeFill="accent6" w:themeFillTint="33"/>
          </w:tcPr>
          <w:p w14:paraId="3765F213" w14:textId="77777777" w:rsidR="00721149" w:rsidRPr="004E730D" w:rsidRDefault="00721149" w:rsidP="00721149">
            <w:pPr>
              <w:jc w:val="center"/>
              <w:rPr>
                <w:sz w:val="22"/>
                <w:szCs w:val="22"/>
              </w:rPr>
            </w:pPr>
            <w:r w:rsidRPr="004E730D">
              <w:rPr>
                <w:sz w:val="22"/>
                <w:szCs w:val="22"/>
              </w:rPr>
              <w:t>-</w:t>
            </w:r>
            <w:r>
              <w:rPr>
                <w:sz w:val="22"/>
                <w:szCs w:val="22"/>
              </w:rPr>
              <w:t>8 +5</w:t>
            </w:r>
          </w:p>
        </w:tc>
        <w:tc>
          <w:tcPr>
            <w:tcW w:w="744" w:type="dxa"/>
            <w:shd w:val="clear" w:color="auto" w:fill="FDE9D9" w:themeFill="accent6" w:themeFillTint="33"/>
          </w:tcPr>
          <w:p w14:paraId="5D049699" w14:textId="043789A3" w:rsidR="00721149" w:rsidRPr="004E730D" w:rsidRDefault="00721149" w:rsidP="00721149">
            <w:pPr>
              <w:jc w:val="center"/>
              <w:rPr>
                <w:sz w:val="22"/>
                <w:szCs w:val="22"/>
              </w:rPr>
            </w:pPr>
            <w:r>
              <w:rPr>
                <w:sz w:val="22"/>
                <w:szCs w:val="22"/>
              </w:rPr>
              <w:t>-</w:t>
            </w:r>
          </w:p>
        </w:tc>
        <w:tc>
          <w:tcPr>
            <w:tcW w:w="743" w:type="dxa"/>
            <w:shd w:val="clear" w:color="auto" w:fill="FDE9D9" w:themeFill="accent6" w:themeFillTint="33"/>
          </w:tcPr>
          <w:p w14:paraId="14124CC4" w14:textId="1CE61A09" w:rsidR="00721149" w:rsidRPr="004E730D" w:rsidRDefault="00721149" w:rsidP="00721149">
            <w:pPr>
              <w:jc w:val="center"/>
              <w:rPr>
                <w:sz w:val="22"/>
                <w:szCs w:val="22"/>
              </w:rPr>
            </w:pPr>
            <w:r w:rsidRPr="004E730D">
              <w:rPr>
                <w:sz w:val="22"/>
                <w:szCs w:val="22"/>
              </w:rPr>
              <w:t>-</w:t>
            </w:r>
            <w:r>
              <w:rPr>
                <w:sz w:val="22"/>
                <w:szCs w:val="22"/>
              </w:rPr>
              <w:t>2*</w:t>
            </w:r>
          </w:p>
        </w:tc>
        <w:tc>
          <w:tcPr>
            <w:tcW w:w="744" w:type="dxa"/>
            <w:shd w:val="clear" w:color="auto" w:fill="FDE9D9" w:themeFill="accent6" w:themeFillTint="33"/>
          </w:tcPr>
          <w:p w14:paraId="1D17C53C" w14:textId="77777777" w:rsidR="00721149" w:rsidRPr="004E730D" w:rsidRDefault="00721149" w:rsidP="00721149">
            <w:pPr>
              <w:jc w:val="center"/>
              <w:rPr>
                <w:sz w:val="22"/>
                <w:szCs w:val="22"/>
              </w:rPr>
            </w:pPr>
            <w:r w:rsidRPr="004E730D">
              <w:rPr>
                <w:sz w:val="22"/>
                <w:szCs w:val="22"/>
              </w:rPr>
              <w:t>-</w:t>
            </w:r>
            <w:r>
              <w:rPr>
                <w:sz w:val="22"/>
                <w:szCs w:val="22"/>
              </w:rPr>
              <w:t>8 +5</w:t>
            </w:r>
          </w:p>
        </w:tc>
        <w:tc>
          <w:tcPr>
            <w:tcW w:w="744" w:type="dxa"/>
            <w:shd w:val="clear" w:color="auto" w:fill="FDE9D9" w:themeFill="accent6" w:themeFillTint="33"/>
          </w:tcPr>
          <w:p w14:paraId="33F653F5" w14:textId="78BCA6CF" w:rsidR="00721149" w:rsidRPr="004E730D" w:rsidRDefault="00721149" w:rsidP="00721149">
            <w:pPr>
              <w:jc w:val="center"/>
              <w:rPr>
                <w:sz w:val="22"/>
                <w:szCs w:val="22"/>
              </w:rPr>
            </w:pPr>
            <w:r>
              <w:rPr>
                <w:sz w:val="22"/>
                <w:szCs w:val="22"/>
              </w:rPr>
              <w:t>-</w:t>
            </w:r>
          </w:p>
        </w:tc>
        <w:tc>
          <w:tcPr>
            <w:tcW w:w="744" w:type="dxa"/>
            <w:shd w:val="clear" w:color="auto" w:fill="FDE9D9" w:themeFill="accent6" w:themeFillTint="33"/>
          </w:tcPr>
          <w:p w14:paraId="5EDBBC52" w14:textId="78584F6E" w:rsidR="00721149" w:rsidRPr="004E730D" w:rsidRDefault="00721149" w:rsidP="00721149">
            <w:pPr>
              <w:jc w:val="center"/>
              <w:rPr>
                <w:sz w:val="22"/>
                <w:szCs w:val="22"/>
              </w:rPr>
            </w:pPr>
            <w:r>
              <w:rPr>
                <w:sz w:val="22"/>
                <w:szCs w:val="22"/>
              </w:rPr>
              <w:t>-</w:t>
            </w:r>
          </w:p>
        </w:tc>
        <w:tc>
          <w:tcPr>
            <w:tcW w:w="744" w:type="dxa"/>
            <w:shd w:val="clear" w:color="auto" w:fill="FDE9D9" w:themeFill="accent6" w:themeFillTint="33"/>
          </w:tcPr>
          <w:p w14:paraId="44FAB1AC" w14:textId="4BA51194" w:rsidR="00721149" w:rsidRPr="004E730D" w:rsidRDefault="00721149" w:rsidP="00721149">
            <w:pPr>
              <w:jc w:val="center"/>
              <w:rPr>
                <w:sz w:val="22"/>
                <w:szCs w:val="22"/>
              </w:rPr>
            </w:pPr>
            <w:r w:rsidRPr="004E730D">
              <w:rPr>
                <w:sz w:val="22"/>
                <w:szCs w:val="22"/>
              </w:rPr>
              <w:t>±</w:t>
            </w:r>
            <w:r>
              <w:rPr>
                <w:sz w:val="22"/>
                <w:szCs w:val="22"/>
              </w:rPr>
              <w:t>9</w:t>
            </w:r>
          </w:p>
        </w:tc>
      </w:tr>
      <w:tr w:rsidR="00721149" w:rsidRPr="004E730D" w14:paraId="76D8D80D" w14:textId="607EE767" w:rsidTr="00F52AF8">
        <w:trPr>
          <w:jc w:val="center"/>
        </w:trPr>
        <w:tc>
          <w:tcPr>
            <w:tcW w:w="844" w:type="dxa"/>
            <w:shd w:val="clear" w:color="auto" w:fill="DAEEF3" w:themeFill="accent5" w:themeFillTint="33"/>
          </w:tcPr>
          <w:p w14:paraId="6A3FE207" w14:textId="77777777" w:rsidR="00721149" w:rsidRPr="004E730D" w:rsidRDefault="00721149" w:rsidP="00721149">
            <w:pPr>
              <w:jc w:val="center"/>
              <w:rPr>
                <w:sz w:val="22"/>
                <w:szCs w:val="22"/>
              </w:rPr>
            </w:pPr>
            <w:r w:rsidRPr="004E730D">
              <w:rPr>
                <w:sz w:val="22"/>
                <w:szCs w:val="22"/>
              </w:rPr>
              <w:t>16</w:t>
            </w:r>
          </w:p>
        </w:tc>
        <w:tc>
          <w:tcPr>
            <w:tcW w:w="744" w:type="dxa"/>
            <w:shd w:val="clear" w:color="auto" w:fill="FDE9D9" w:themeFill="accent6" w:themeFillTint="33"/>
          </w:tcPr>
          <w:p w14:paraId="2FCF26D2" w14:textId="77777777" w:rsidR="00721149" w:rsidRPr="004E730D" w:rsidRDefault="00721149" w:rsidP="00721149">
            <w:pPr>
              <w:jc w:val="center"/>
              <w:rPr>
                <w:sz w:val="22"/>
                <w:szCs w:val="22"/>
              </w:rPr>
            </w:pPr>
          </w:p>
        </w:tc>
        <w:tc>
          <w:tcPr>
            <w:tcW w:w="744" w:type="dxa"/>
            <w:shd w:val="clear" w:color="auto" w:fill="FDE9D9" w:themeFill="accent6" w:themeFillTint="33"/>
          </w:tcPr>
          <w:p w14:paraId="39111EEE" w14:textId="5A3E2389" w:rsidR="00721149" w:rsidRPr="004E730D" w:rsidRDefault="00721149" w:rsidP="00721149">
            <w:pPr>
              <w:jc w:val="center"/>
              <w:rPr>
                <w:sz w:val="22"/>
                <w:szCs w:val="22"/>
              </w:rPr>
            </w:pPr>
            <w:r w:rsidRPr="004E730D">
              <w:rPr>
                <w:sz w:val="22"/>
                <w:szCs w:val="22"/>
              </w:rPr>
              <w:t>-2</w:t>
            </w:r>
            <w:r>
              <w:rPr>
                <w:sz w:val="22"/>
                <w:szCs w:val="22"/>
              </w:rPr>
              <w:t>*</w:t>
            </w:r>
          </w:p>
        </w:tc>
        <w:tc>
          <w:tcPr>
            <w:tcW w:w="744" w:type="dxa"/>
            <w:shd w:val="clear" w:color="auto" w:fill="FDE9D9" w:themeFill="accent6" w:themeFillTint="33"/>
          </w:tcPr>
          <w:p w14:paraId="60DC65BA" w14:textId="77777777" w:rsidR="00721149" w:rsidRPr="004E730D" w:rsidRDefault="00721149" w:rsidP="00721149">
            <w:pPr>
              <w:jc w:val="center"/>
              <w:rPr>
                <w:sz w:val="22"/>
                <w:szCs w:val="22"/>
              </w:rPr>
            </w:pPr>
            <w:r w:rsidRPr="004E730D">
              <w:rPr>
                <w:sz w:val="22"/>
                <w:szCs w:val="22"/>
              </w:rPr>
              <w:t>-</w:t>
            </w:r>
            <w:r>
              <w:rPr>
                <w:sz w:val="22"/>
                <w:szCs w:val="22"/>
              </w:rPr>
              <w:t>9 +5</w:t>
            </w:r>
          </w:p>
        </w:tc>
        <w:tc>
          <w:tcPr>
            <w:tcW w:w="743" w:type="dxa"/>
            <w:shd w:val="clear" w:color="auto" w:fill="FDE9D9" w:themeFill="accent6" w:themeFillTint="33"/>
          </w:tcPr>
          <w:p w14:paraId="0237858A" w14:textId="77777777" w:rsidR="00721149" w:rsidRPr="004E730D" w:rsidRDefault="00721149" w:rsidP="00721149">
            <w:pPr>
              <w:jc w:val="center"/>
              <w:rPr>
                <w:sz w:val="22"/>
                <w:szCs w:val="22"/>
              </w:rPr>
            </w:pPr>
          </w:p>
        </w:tc>
        <w:tc>
          <w:tcPr>
            <w:tcW w:w="744" w:type="dxa"/>
            <w:shd w:val="clear" w:color="auto" w:fill="FDE9D9" w:themeFill="accent6" w:themeFillTint="33"/>
          </w:tcPr>
          <w:p w14:paraId="270AA101" w14:textId="428187E3" w:rsidR="00721149" w:rsidRPr="004E730D" w:rsidRDefault="00721149" w:rsidP="00721149">
            <w:pPr>
              <w:jc w:val="center"/>
              <w:rPr>
                <w:sz w:val="22"/>
                <w:szCs w:val="22"/>
              </w:rPr>
            </w:pPr>
            <w:r w:rsidRPr="004E730D">
              <w:rPr>
                <w:sz w:val="22"/>
                <w:szCs w:val="22"/>
              </w:rPr>
              <w:t>-2</w:t>
            </w:r>
            <w:r>
              <w:rPr>
                <w:sz w:val="22"/>
                <w:szCs w:val="22"/>
              </w:rPr>
              <w:t>*</w:t>
            </w:r>
          </w:p>
        </w:tc>
        <w:tc>
          <w:tcPr>
            <w:tcW w:w="744" w:type="dxa"/>
            <w:shd w:val="clear" w:color="auto" w:fill="FDE9D9" w:themeFill="accent6" w:themeFillTint="33"/>
          </w:tcPr>
          <w:p w14:paraId="5DCF5ABC" w14:textId="77777777" w:rsidR="00721149" w:rsidRPr="004E730D" w:rsidRDefault="00721149" w:rsidP="00721149">
            <w:pPr>
              <w:jc w:val="center"/>
              <w:rPr>
                <w:sz w:val="22"/>
                <w:szCs w:val="22"/>
              </w:rPr>
            </w:pPr>
            <w:r w:rsidRPr="004E730D">
              <w:rPr>
                <w:sz w:val="22"/>
                <w:szCs w:val="22"/>
              </w:rPr>
              <w:t>-</w:t>
            </w:r>
            <w:r>
              <w:rPr>
                <w:sz w:val="22"/>
                <w:szCs w:val="22"/>
              </w:rPr>
              <w:t>9 +5</w:t>
            </w:r>
          </w:p>
        </w:tc>
        <w:tc>
          <w:tcPr>
            <w:tcW w:w="744" w:type="dxa"/>
            <w:shd w:val="clear" w:color="auto" w:fill="FDE9D9" w:themeFill="accent6" w:themeFillTint="33"/>
          </w:tcPr>
          <w:p w14:paraId="273B601E" w14:textId="749666AB" w:rsidR="00721149" w:rsidRPr="004E730D" w:rsidRDefault="00721149" w:rsidP="00721149">
            <w:pPr>
              <w:jc w:val="center"/>
              <w:rPr>
                <w:sz w:val="22"/>
                <w:szCs w:val="22"/>
              </w:rPr>
            </w:pPr>
            <w:r w:rsidRPr="004E730D">
              <w:rPr>
                <w:sz w:val="22"/>
                <w:szCs w:val="22"/>
              </w:rPr>
              <w:t>-</w:t>
            </w:r>
            <w:r>
              <w:rPr>
                <w:sz w:val="22"/>
                <w:szCs w:val="22"/>
              </w:rPr>
              <w:t>9 +5</w:t>
            </w:r>
          </w:p>
        </w:tc>
        <w:tc>
          <w:tcPr>
            <w:tcW w:w="744" w:type="dxa"/>
            <w:shd w:val="clear" w:color="auto" w:fill="FDE9D9" w:themeFill="accent6" w:themeFillTint="33"/>
          </w:tcPr>
          <w:p w14:paraId="7F80450A" w14:textId="6EEC1D54" w:rsidR="00721149" w:rsidRPr="004E730D" w:rsidRDefault="00721149" w:rsidP="00721149">
            <w:pPr>
              <w:jc w:val="center"/>
              <w:rPr>
                <w:sz w:val="22"/>
                <w:szCs w:val="22"/>
              </w:rPr>
            </w:pPr>
            <w:r>
              <w:rPr>
                <w:sz w:val="22"/>
                <w:szCs w:val="22"/>
              </w:rPr>
              <w:t>-</w:t>
            </w:r>
          </w:p>
        </w:tc>
      </w:tr>
      <w:tr w:rsidR="00721149" w:rsidRPr="004E730D" w14:paraId="1BDBC338" w14:textId="76E57CAD" w:rsidTr="00F52AF8">
        <w:trPr>
          <w:jc w:val="center"/>
        </w:trPr>
        <w:tc>
          <w:tcPr>
            <w:tcW w:w="844" w:type="dxa"/>
            <w:shd w:val="clear" w:color="auto" w:fill="DAEEF3" w:themeFill="accent5" w:themeFillTint="33"/>
          </w:tcPr>
          <w:p w14:paraId="77E5714A" w14:textId="77777777" w:rsidR="00721149" w:rsidRPr="004E730D" w:rsidRDefault="00721149" w:rsidP="00721149">
            <w:pPr>
              <w:jc w:val="center"/>
              <w:rPr>
                <w:sz w:val="22"/>
                <w:szCs w:val="22"/>
              </w:rPr>
            </w:pPr>
            <w:r w:rsidRPr="004E730D">
              <w:rPr>
                <w:sz w:val="22"/>
                <w:szCs w:val="22"/>
              </w:rPr>
              <w:t>22</w:t>
            </w:r>
          </w:p>
        </w:tc>
        <w:tc>
          <w:tcPr>
            <w:tcW w:w="744" w:type="dxa"/>
            <w:shd w:val="clear" w:color="auto" w:fill="FDE9D9" w:themeFill="accent6" w:themeFillTint="33"/>
          </w:tcPr>
          <w:p w14:paraId="38382CC7" w14:textId="77777777" w:rsidR="00721149" w:rsidRPr="004E730D" w:rsidRDefault="00721149" w:rsidP="00721149">
            <w:pPr>
              <w:jc w:val="center"/>
              <w:rPr>
                <w:sz w:val="22"/>
                <w:szCs w:val="22"/>
              </w:rPr>
            </w:pPr>
          </w:p>
        </w:tc>
        <w:tc>
          <w:tcPr>
            <w:tcW w:w="744" w:type="dxa"/>
            <w:shd w:val="clear" w:color="auto" w:fill="FDE9D9" w:themeFill="accent6" w:themeFillTint="33"/>
          </w:tcPr>
          <w:p w14:paraId="5E1AA2BC" w14:textId="77777777" w:rsidR="00721149" w:rsidRPr="004E730D" w:rsidRDefault="00721149" w:rsidP="00721149">
            <w:pPr>
              <w:jc w:val="center"/>
              <w:rPr>
                <w:sz w:val="22"/>
                <w:szCs w:val="22"/>
              </w:rPr>
            </w:pPr>
          </w:p>
        </w:tc>
        <w:tc>
          <w:tcPr>
            <w:tcW w:w="744" w:type="dxa"/>
            <w:shd w:val="clear" w:color="auto" w:fill="FDE9D9" w:themeFill="accent6" w:themeFillTint="33"/>
          </w:tcPr>
          <w:p w14:paraId="3EE1FB56" w14:textId="37FAE2BE" w:rsidR="00721149" w:rsidRPr="004E730D" w:rsidRDefault="00721149" w:rsidP="00721149">
            <w:pPr>
              <w:jc w:val="center"/>
              <w:rPr>
                <w:sz w:val="22"/>
                <w:szCs w:val="22"/>
              </w:rPr>
            </w:pPr>
            <w:r>
              <w:rPr>
                <w:sz w:val="22"/>
                <w:szCs w:val="22"/>
              </w:rPr>
              <w:t>-2*</w:t>
            </w:r>
          </w:p>
        </w:tc>
        <w:tc>
          <w:tcPr>
            <w:tcW w:w="743" w:type="dxa"/>
            <w:shd w:val="clear" w:color="auto" w:fill="FDE9D9" w:themeFill="accent6" w:themeFillTint="33"/>
          </w:tcPr>
          <w:p w14:paraId="7E73E170" w14:textId="77777777" w:rsidR="00721149" w:rsidRPr="004E730D" w:rsidRDefault="00721149" w:rsidP="00721149">
            <w:pPr>
              <w:jc w:val="center"/>
              <w:rPr>
                <w:sz w:val="22"/>
                <w:szCs w:val="22"/>
              </w:rPr>
            </w:pPr>
          </w:p>
        </w:tc>
        <w:tc>
          <w:tcPr>
            <w:tcW w:w="744" w:type="dxa"/>
            <w:shd w:val="clear" w:color="auto" w:fill="FDE9D9" w:themeFill="accent6" w:themeFillTint="33"/>
          </w:tcPr>
          <w:p w14:paraId="3E9C85AA" w14:textId="77777777" w:rsidR="00721149" w:rsidRPr="004E730D" w:rsidRDefault="00721149" w:rsidP="00721149">
            <w:pPr>
              <w:jc w:val="center"/>
              <w:rPr>
                <w:sz w:val="22"/>
                <w:szCs w:val="22"/>
              </w:rPr>
            </w:pPr>
          </w:p>
        </w:tc>
        <w:tc>
          <w:tcPr>
            <w:tcW w:w="744" w:type="dxa"/>
            <w:shd w:val="clear" w:color="auto" w:fill="FDE9D9" w:themeFill="accent6" w:themeFillTint="33"/>
          </w:tcPr>
          <w:p w14:paraId="15C0ADE4" w14:textId="2ED959FB" w:rsidR="00721149" w:rsidRPr="004E730D" w:rsidRDefault="00721149" w:rsidP="00721149">
            <w:pPr>
              <w:jc w:val="center"/>
              <w:rPr>
                <w:sz w:val="22"/>
                <w:szCs w:val="22"/>
              </w:rPr>
            </w:pPr>
            <w:r>
              <w:rPr>
                <w:sz w:val="22"/>
                <w:szCs w:val="22"/>
              </w:rPr>
              <w:t>-2*</w:t>
            </w:r>
          </w:p>
        </w:tc>
        <w:tc>
          <w:tcPr>
            <w:tcW w:w="744" w:type="dxa"/>
            <w:shd w:val="clear" w:color="auto" w:fill="FDE9D9" w:themeFill="accent6" w:themeFillTint="33"/>
          </w:tcPr>
          <w:p w14:paraId="45DC69A7" w14:textId="48ED9659" w:rsidR="00721149" w:rsidRDefault="00721149" w:rsidP="00721149">
            <w:pPr>
              <w:jc w:val="center"/>
              <w:rPr>
                <w:sz w:val="22"/>
                <w:szCs w:val="22"/>
              </w:rPr>
            </w:pPr>
            <w:r>
              <w:rPr>
                <w:sz w:val="22"/>
                <w:szCs w:val="22"/>
              </w:rPr>
              <w:t>-2*</w:t>
            </w:r>
          </w:p>
        </w:tc>
        <w:tc>
          <w:tcPr>
            <w:tcW w:w="744" w:type="dxa"/>
            <w:shd w:val="clear" w:color="auto" w:fill="FDE9D9" w:themeFill="accent6" w:themeFillTint="33"/>
          </w:tcPr>
          <w:p w14:paraId="5CECF65A" w14:textId="356A3D76" w:rsidR="00721149" w:rsidRDefault="00721149" w:rsidP="00721149">
            <w:pPr>
              <w:jc w:val="center"/>
              <w:rPr>
                <w:sz w:val="22"/>
                <w:szCs w:val="22"/>
              </w:rPr>
            </w:pPr>
            <w:r w:rsidRPr="004E730D">
              <w:rPr>
                <w:sz w:val="22"/>
                <w:szCs w:val="22"/>
              </w:rPr>
              <w:t>-</w:t>
            </w:r>
            <w:r>
              <w:rPr>
                <w:sz w:val="22"/>
                <w:szCs w:val="22"/>
              </w:rPr>
              <w:t>9 +5</w:t>
            </w:r>
          </w:p>
        </w:tc>
      </w:tr>
      <w:tr w:rsidR="00721149" w:rsidRPr="004E730D" w14:paraId="68F30642" w14:textId="77777777" w:rsidTr="00F52AF8">
        <w:trPr>
          <w:jc w:val="center"/>
        </w:trPr>
        <w:tc>
          <w:tcPr>
            <w:tcW w:w="844" w:type="dxa"/>
            <w:shd w:val="clear" w:color="auto" w:fill="DAEEF3" w:themeFill="accent5" w:themeFillTint="33"/>
          </w:tcPr>
          <w:p w14:paraId="390A88B8" w14:textId="4E43F16F" w:rsidR="00721149" w:rsidRPr="004E730D" w:rsidRDefault="00721149" w:rsidP="00721149">
            <w:pPr>
              <w:jc w:val="center"/>
              <w:rPr>
                <w:sz w:val="22"/>
                <w:szCs w:val="22"/>
              </w:rPr>
            </w:pPr>
            <w:r>
              <w:rPr>
                <w:sz w:val="22"/>
                <w:szCs w:val="22"/>
              </w:rPr>
              <w:t>31,5</w:t>
            </w:r>
          </w:p>
        </w:tc>
        <w:tc>
          <w:tcPr>
            <w:tcW w:w="744" w:type="dxa"/>
            <w:shd w:val="clear" w:color="auto" w:fill="FDE9D9" w:themeFill="accent6" w:themeFillTint="33"/>
          </w:tcPr>
          <w:p w14:paraId="642BDF3F" w14:textId="77777777" w:rsidR="00721149" w:rsidRPr="004E730D" w:rsidRDefault="00721149" w:rsidP="00721149">
            <w:pPr>
              <w:jc w:val="center"/>
              <w:rPr>
                <w:sz w:val="22"/>
                <w:szCs w:val="22"/>
              </w:rPr>
            </w:pPr>
          </w:p>
        </w:tc>
        <w:tc>
          <w:tcPr>
            <w:tcW w:w="744" w:type="dxa"/>
            <w:shd w:val="clear" w:color="auto" w:fill="FDE9D9" w:themeFill="accent6" w:themeFillTint="33"/>
          </w:tcPr>
          <w:p w14:paraId="02205D04" w14:textId="77777777" w:rsidR="00721149" w:rsidRPr="004E730D" w:rsidRDefault="00721149" w:rsidP="00721149">
            <w:pPr>
              <w:jc w:val="center"/>
              <w:rPr>
                <w:sz w:val="22"/>
                <w:szCs w:val="22"/>
              </w:rPr>
            </w:pPr>
          </w:p>
        </w:tc>
        <w:tc>
          <w:tcPr>
            <w:tcW w:w="744" w:type="dxa"/>
            <w:shd w:val="clear" w:color="auto" w:fill="FDE9D9" w:themeFill="accent6" w:themeFillTint="33"/>
          </w:tcPr>
          <w:p w14:paraId="2E9D0FDC" w14:textId="77777777" w:rsidR="00721149" w:rsidRDefault="00721149" w:rsidP="00721149">
            <w:pPr>
              <w:jc w:val="center"/>
              <w:rPr>
                <w:sz w:val="22"/>
                <w:szCs w:val="22"/>
              </w:rPr>
            </w:pPr>
          </w:p>
        </w:tc>
        <w:tc>
          <w:tcPr>
            <w:tcW w:w="743" w:type="dxa"/>
            <w:shd w:val="clear" w:color="auto" w:fill="FDE9D9" w:themeFill="accent6" w:themeFillTint="33"/>
          </w:tcPr>
          <w:p w14:paraId="5A76479C" w14:textId="77777777" w:rsidR="00721149" w:rsidRPr="004E730D" w:rsidRDefault="00721149" w:rsidP="00721149">
            <w:pPr>
              <w:jc w:val="center"/>
              <w:rPr>
                <w:sz w:val="22"/>
                <w:szCs w:val="22"/>
              </w:rPr>
            </w:pPr>
          </w:p>
        </w:tc>
        <w:tc>
          <w:tcPr>
            <w:tcW w:w="744" w:type="dxa"/>
            <w:shd w:val="clear" w:color="auto" w:fill="FDE9D9" w:themeFill="accent6" w:themeFillTint="33"/>
          </w:tcPr>
          <w:p w14:paraId="06A6109B" w14:textId="77777777" w:rsidR="00721149" w:rsidRPr="004E730D" w:rsidRDefault="00721149" w:rsidP="00721149">
            <w:pPr>
              <w:jc w:val="center"/>
              <w:rPr>
                <w:sz w:val="22"/>
                <w:szCs w:val="22"/>
              </w:rPr>
            </w:pPr>
          </w:p>
        </w:tc>
        <w:tc>
          <w:tcPr>
            <w:tcW w:w="744" w:type="dxa"/>
            <w:shd w:val="clear" w:color="auto" w:fill="FDE9D9" w:themeFill="accent6" w:themeFillTint="33"/>
          </w:tcPr>
          <w:p w14:paraId="2BD7B11F" w14:textId="77777777" w:rsidR="00721149" w:rsidRDefault="00721149" w:rsidP="00721149">
            <w:pPr>
              <w:jc w:val="center"/>
              <w:rPr>
                <w:sz w:val="22"/>
                <w:szCs w:val="22"/>
              </w:rPr>
            </w:pPr>
          </w:p>
        </w:tc>
        <w:tc>
          <w:tcPr>
            <w:tcW w:w="744" w:type="dxa"/>
            <w:shd w:val="clear" w:color="auto" w:fill="FDE9D9" w:themeFill="accent6" w:themeFillTint="33"/>
          </w:tcPr>
          <w:p w14:paraId="0CB2CF8D" w14:textId="77777777" w:rsidR="00721149" w:rsidRDefault="00721149" w:rsidP="00721149">
            <w:pPr>
              <w:jc w:val="center"/>
              <w:rPr>
                <w:sz w:val="22"/>
                <w:szCs w:val="22"/>
              </w:rPr>
            </w:pPr>
          </w:p>
        </w:tc>
        <w:tc>
          <w:tcPr>
            <w:tcW w:w="744" w:type="dxa"/>
            <w:shd w:val="clear" w:color="auto" w:fill="FDE9D9" w:themeFill="accent6" w:themeFillTint="33"/>
          </w:tcPr>
          <w:p w14:paraId="42D10D2B" w14:textId="759F4475" w:rsidR="00721149" w:rsidRDefault="00721149" w:rsidP="00721149">
            <w:pPr>
              <w:jc w:val="center"/>
              <w:rPr>
                <w:sz w:val="22"/>
                <w:szCs w:val="22"/>
              </w:rPr>
            </w:pPr>
            <w:r>
              <w:rPr>
                <w:sz w:val="22"/>
                <w:szCs w:val="22"/>
              </w:rPr>
              <w:t>-2*</w:t>
            </w:r>
          </w:p>
        </w:tc>
      </w:tr>
    </w:tbl>
    <w:p w14:paraId="58DD0872" w14:textId="67537739" w:rsidR="0072474B" w:rsidRDefault="005171A4" w:rsidP="007317FC">
      <w:pPr>
        <w:pStyle w:val="BodyTextIndent"/>
        <w:spacing w:before="0"/>
        <w:ind w:left="0"/>
        <w:jc w:val="both"/>
      </w:pPr>
      <w:r w:rsidRPr="0090491D">
        <w:rPr>
          <w:i/>
        </w:rPr>
        <w:t>* Krafan er að sáldur sem smýgur 1,4</w:t>
      </w:r>
      <w:r w:rsidR="0047772A">
        <w:rPr>
          <w:i/>
        </w:rPr>
        <w:t>*</w:t>
      </w:r>
      <w:r w:rsidRPr="0090491D">
        <w:rPr>
          <w:i/>
        </w:rPr>
        <w:t xml:space="preserve">D sé 100 % en þolvik eru -2, sem þýðir að minnst 98 % </w:t>
      </w:r>
      <w:r>
        <w:rPr>
          <w:i/>
        </w:rPr>
        <w:t>skulu smjúga það sigti</w:t>
      </w:r>
    </w:p>
    <w:p w14:paraId="5C08503F" w14:textId="020636FB" w:rsidR="003B3D5D" w:rsidRDefault="003B3D5D" w:rsidP="003B3D5D">
      <w:pPr>
        <w:pStyle w:val="BodyTextIndent"/>
        <w:ind w:left="0"/>
        <w:jc w:val="both"/>
      </w:pPr>
      <w:r>
        <w:t xml:space="preserve">Þolvik á magni bindiefnis er </w:t>
      </w:r>
      <w:r w:rsidRPr="004E730D">
        <w:rPr>
          <w:sz w:val="22"/>
          <w:szCs w:val="22"/>
        </w:rPr>
        <w:t>±</w:t>
      </w:r>
      <w:r>
        <w:rPr>
          <w:sz w:val="22"/>
          <w:szCs w:val="22"/>
        </w:rPr>
        <w:t xml:space="preserve">0,5% fyrir malbiksgerðir með 8 og 11 mm hámarksstærð, en </w:t>
      </w:r>
      <w:r w:rsidRPr="004E730D">
        <w:rPr>
          <w:sz w:val="22"/>
          <w:szCs w:val="22"/>
        </w:rPr>
        <w:t>±</w:t>
      </w:r>
      <w:r>
        <w:rPr>
          <w:sz w:val="22"/>
          <w:szCs w:val="22"/>
        </w:rPr>
        <w:t>0,6% fyrir malbiksgerðir með 16 mm hámarksstærð, sem fjallað er um í töflu 4.2, sem sagt ef um er að ræða stakar mælingar.</w:t>
      </w:r>
    </w:p>
    <w:p w14:paraId="3299D3BC" w14:textId="7D040F2E" w:rsidR="00677D4D" w:rsidRDefault="0014393C" w:rsidP="008854B5">
      <w:pPr>
        <w:pStyle w:val="BodyTextIndent"/>
        <w:spacing w:before="0"/>
        <w:ind w:left="0" w:firstLine="284"/>
        <w:jc w:val="both"/>
      </w:pPr>
      <w:r>
        <w:t>Þess ber að geta að sams</w:t>
      </w:r>
      <w:r w:rsidR="00677D4D">
        <w:t xml:space="preserve">konar kröfur og settar eru fram í töflum 4-1 og 4-2 gilda einnig um burðarlagsmalbik, en í </w:t>
      </w:r>
      <w:r w:rsidR="0025107D">
        <w:t xml:space="preserve">því </w:t>
      </w:r>
      <w:r w:rsidR="0073175B">
        <w:t>tilfelli</w:t>
      </w:r>
      <w:r w:rsidR="00677D4D">
        <w:t xml:space="preserve"> getur efri flokkunarstær</w:t>
      </w:r>
      <w:r>
        <w:t>ð verið grófa</w:t>
      </w:r>
      <w:r w:rsidR="00000623">
        <w:t>r</w:t>
      </w:r>
      <w:r>
        <w:t>i en töflurnar sýna</w:t>
      </w:r>
      <w:r w:rsidR="00677D4D">
        <w:t xml:space="preserve">. Þá er hægt að nota viðauka A í ÍST EN 13108-21 til </w:t>
      </w:r>
      <w:r w:rsidR="005171A4">
        <w:t xml:space="preserve">að </w:t>
      </w:r>
      <w:r w:rsidR="00677D4D">
        <w:t>finna út þolvikin.</w:t>
      </w:r>
    </w:p>
    <w:p w14:paraId="525C905D" w14:textId="458545CD" w:rsidR="008F1C92" w:rsidRDefault="008F1C92">
      <w:r>
        <w:br w:type="page"/>
      </w:r>
    </w:p>
    <w:p w14:paraId="441B1B0C" w14:textId="77777777" w:rsidR="0072474B" w:rsidRDefault="006C31C4" w:rsidP="00677D4D">
      <w:pPr>
        <w:pStyle w:val="Heading3"/>
      </w:pPr>
      <w:bookmarkStart w:id="34" w:name="_Toc52971450"/>
      <w:r>
        <w:lastRenderedPageBreak/>
        <w:t>Stærðar</w:t>
      </w:r>
      <w:r w:rsidR="00677D4D">
        <w:t xml:space="preserve">flokkar </w:t>
      </w:r>
      <w:r>
        <w:t>og</w:t>
      </w:r>
      <w:r w:rsidR="00677D4D">
        <w:t xml:space="preserve"> magn undir- og yfirstærða</w:t>
      </w:r>
      <w:bookmarkEnd w:id="34"/>
    </w:p>
    <w:p w14:paraId="5EE97E57" w14:textId="3B9BD3BE" w:rsidR="00550912" w:rsidRDefault="00023BC9" w:rsidP="004F1AF4">
      <w:pPr>
        <w:pStyle w:val="BodyTextIndent"/>
        <w:spacing w:before="0"/>
        <w:ind w:left="0" w:firstLine="330"/>
        <w:jc w:val="both"/>
      </w:pPr>
      <w:r>
        <w:t>T</w:t>
      </w:r>
      <w:r w:rsidR="004E4DC1">
        <w:t>afla</w:t>
      </w:r>
      <w:r w:rsidR="0072474B">
        <w:t xml:space="preserve"> 4.3</w:t>
      </w:r>
      <w:r>
        <w:t xml:space="preserve"> sýn</w:t>
      </w:r>
      <w:r w:rsidR="004E4DC1">
        <w:t>ir</w:t>
      </w:r>
      <w:r>
        <w:t xml:space="preserve"> þá </w:t>
      </w:r>
      <w:r w:rsidR="00752DDB">
        <w:t>kröfu</w:t>
      </w:r>
      <w:r>
        <w:t>flokka sem</w:t>
      </w:r>
      <w:r w:rsidR="00DE4053">
        <w:t xml:space="preserve"> Vegagerðin leggur til að verði valið á milli </w:t>
      </w:r>
      <w:r>
        <w:t>varðandi magn undir- og yfirstærða til mismunandi nota steinefna</w:t>
      </w:r>
      <w:r w:rsidR="00143086">
        <w:t>, sbr.</w:t>
      </w:r>
      <w:r w:rsidR="0025107D">
        <w:t xml:space="preserve"> framleiðslustaðla</w:t>
      </w:r>
      <w:r w:rsidR="00143086">
        <w:t xml:space="preserve"> ÍST EN 12620, 13043 og 13242</w:t>
      </w:r>
      <w:r w:rsidR="004E4DC1">
        <w:t>.</w:t>
      </w:r>
      <w:r w:rsidR="00CD47E7">
        <w:t xml:space="preserve"> </w:t>
      </w:r>
      <w:r>
        <w:t xml:space="preserve">Í megintexta </w:t>
      </w:r>
      <w:r w:rsidR="0025107D">
        <w:t>Efnisgæða</w:t>
      </w:r>
      <w:r w:rsidR="005171A4">
        <w:rPr>
          <w:bCs/>
          <w:iCs/>
        </w:rPr>
        <w:t xml:space="preserve">rits Vegagerðarinnar </w:t>
      </w:r>
      <w:r>
        <w:t xml:space="preserve">hafa </w:t>
      </w:r>
      <w:r w:rsidR="00352BAA">
        <w:t xml:space="preserve">þessir kröfuflokkar </w:t>
      </w:r>
      <w:r>
        <w:t>verið valdir</w:t>
      </w:r>
      <w:r w:rsidR="008F1C92">
        <w:t xml:space="preserve"> í þeim köflum sem það á við</w:t>
      </w:r>
      <w:r w:rsidR="00B33664">
        <w:t xml:space="preserve"> og eru mismunandi kröfuflokkar valdir fyrir mismunandi lög vegarins</w:t>
      </w:r>
      <w:r w:rsidR="00883B58">
        <w:t>.</w:t>
      </w:r>
      <w:r w:rsidR="00B33664">
        <w:t xml:space="preserve"> Þó má benda á að fyrir sum lög veghlotsins er algengara að gera kröfur um kornadreifingu sem byggðar eru á markalínum.</w:t>
      </w:r>
      <w:r w:rsidR="00352BAA">
        <w:t xml:space="preserve"> Í áðurnefndum framleiðslustöðlum er boðið upp á fleiri flokka um undir- og yfirstærðir</w:t>
      </w:r>
      <w:r w:rsidR="00B33664">
        <w:t xml:space="preserve"> en valdir hafa verið í Efnisgæðaritið</w:t>
      </w:r>
      <w:r w:rsidR="00352BAA">
        <w:t>.</w:t>
      </w:r>
      <w:r>
        <w:t xml:space="preserve"> </w:t>
      </w:r>
    </w:p>
    <w:p w14:paraId="3EA0A76C" w14:textId="231EE7AE" w:rsidR="00CD47E7" w:rsidRPr="009E6764" w:rsidRDefault="006C31C4" w:rsidP="00CD47E7">
      <w:pPr>
        <w:pStyle w:val="FootnoteText"/>
        <w:ind w:firstLine="330"/>
        <w:jc w:val="both"/>
        <w:rPr>
          <w:sz w:val="24"/>
          <w:szCs w:val="24"/>
        </w:rPr>
      </w:pPr>
      <w:r>
        <w:rPr>
          <w:sz w:val="24"/>
          <w:szCs w:val="24"/>
        </w:rPr>
        <w:t>S</w:t>
      </w:r>
      <w:r w:rsidR="00CD47E7" w:rsidRPr="009E6764">
        <w:rPr>
          <w:sz w:val="24"/>
          <w:szCs w:val="24"/>
        </w:rPr>
        <w:t>tærðaflokkar í töflun</w:t>
      </w:r>
      <w:r w:rsidR="00FD5684">
        <w:rPr>
          <w:sz w:val="24"/>
          <w:szCs w:val="24"/>
        </w:rPr>
        <w:t>ni</w:t>
      </w:r>
      <w:r w:rsidR="00CD47E7" w:rsidRPr="009E6764">
        <w:rPr>
          <w:sz w:val="24"/>
          <w:szCs w:val="24"/>
        </w:rPr>
        <w:t xml:space="preserve"> eru táknaðir með neðri og efri flokkunarstærð d/D</w:t>
      </w:r>
      <w:r w:rsidR="0025107D">
        <w:rPr>
          <w:sz w:val="24"/>
          <w:szCs w:val="24"/>
        </w:rPr>
        <w:t>,</w:t>
      </w:r>
      <w:r w:rsidR="00CD47E7" w:rsidRPr="009E6764">
        <w:rPr>
          <w:sz w:val="24"/>
          <w:szCs w:val="24"/>
        </w:rPr>
        <w:t xml:space="preserve"> t.d. 8/11</w:t>
      </w:r>
      <w:r w:rsidR="00113A18">
        <w:rPr>
          <w:sz w:val="24"/>
          <w:szCs w:val="24"/>
        </w:rPr>
        <w:t xml:space="preserve"> mm</w:t>
      </w:r>
      <w:r w:rsidR="00CD47E7" w:rsidRPr="009E6764">
        <w:rPr>
          <w:sz w:val="24"/>
          <w:szCs w:val="24"/>
        </w:rPr>
        <w:t xml:space="preserve">. </w:t>
      </w:r>
      <w:r w:rsidR="006304D6" w:rsidRPr="003506EE">
        <w:rPr>
          <w:sz w:val="24"/>
          <w:szCs w:val="24"/>
        </w:rPr>
        <w:t xml:space="preserve">Flokkað efni er nefnt Coarse í staðlinum (sbr. merkinguna </w:t>
      </w:r>
      <w:r w:rsidR="00373A02">
        <w:rPr>
          <w:sz w:val="24"/>
          <w:szCs w:val="24"/>
          <w:vertAlign w:val="subscript"/>
        </w:rPr>
        <w:t>C</w:t>
      </w:r>
      <w:r w:rsidR="006304D6" w:rsidRPr="003506EE">
        <w:rPr>
          <w:sz w:val="24"/>
          <w:szCs w:val="24"/>
        </w:rPr>
        <w:t xml:space="preserve"> í G</w:t>
      </w:r>
      <w:r w:rsidR="006304D6" w:rsidRPr="003506EE">
        <w:rPr>
          <w:sz w:val="24"/>
          <w:szCs w:val="24"/>
          <w:vertAlign w:val="subscript"/>
        </w:rPr>
        <w:t>C</w:t>
      </w:r>
      <w:r w:rsidR="006304D6" w:rsidRPr="003506EE">
        <w:rPr>
          <w:sz w:val="24"/>
          <w:szCs w:val="24"/>
        </w:rPr>
        <w:t xml:space="preserve">). Óflokkað efni er nefnt All-in í staðlinum (sbr. merkinguna </w:t>
      </w:r>
      <w:r w:rsidR="006304D6" w:rsidRPr="003506EE">
        <w:rPr>
          <w:sz w:val="24"/>
          <w:szCs w:val="24"/>
          <w:vertAlign w:val="subscript"/>
        </w:rPr>
        <w:t>A</w:t>
      </w:r>
      <w:r w:rsidR="006304D6" w:rsidRPr="003506EE">
        <w:rPr>
          <w:sz w:val="24"/>
          <w:szCs w:val="24"/>
        </w:rPr>
        <w:t xml:space="preserve"> í G</w:t>
      </w:r>
      <w:r w:rsidR="006304D6" w:rsidRPr="003506EE">
        <w:rPr>
          <w:sz w:val="24"/>
          <w:szCs w:val="24"/>
          <w:vertAlign w:val="subscript"/>
        </w:rPr>
        <w:t>A</w:t>
      </w:r>
      <w:r w:rsidR="006304D6" w:rsidRPr="003506EE">
        <w:rPr>
          <w:sz w:val="24"/>
          <w:szCs w:val="24"/>
        </w:rPr>
        <w:t>).</w:t>
      </w:r>
      <w:r w:rsidR="009E6764">
        <w:rPr>
          <w:sz w:val="24"/>
          <w:szCs w:val="24"/>
        </w:rPr>
        <w:t xml:space="preserve"> Kröfur til yfirstærða eru tilgreindar í töflun</w:t>
      </w:r>
      <w:r w:rsidR="00FD5684">
        <w:rPr>
          <w:sz w:val="24"/>
          <w:szCs w:val="24"/>
        </w:rPr>
        <w:t>ni</w:t>
      </w:r>
      <w:r w:rsidR="00373A02">
        <w:rPr>
          <w:sz w:val="24"/>
          <w:szCs w:val="24"/>
        </w:rPr>
        <w:t xml:space="preserve"> fyrir 1,4</w:t>
      </w:r>
      <w:r w:rsidR="0025107D">
        <w:rPr>
          <w:sz w:val="24"/>
          <w:szCs w:val="24"/>
        </w:rPr>
        <w:t>*</w:t>
      </w:r>
      <w:r w:rsidR="00373A02">
        <w:rPr>
          <w:sz w:val="24"/>
          <w:szCs w:val="24"/>
        </w:rPr>
        <w:t>D og 2</w:t>
      </w:r>
      <w:r w:rsidR="0025107D">
        <w:rPr>
          <w:sz w:val="24"/>
          <w:szCs w:val="24"/>
        </w:rPr>
        <w:t>*</w:t>
      </w:r>
      <w:r w:rsidR="00373A02">
        <w:rPr>
          <w:sz w:val="24"/>
          <w:szCs w:val="24"/>
        </w:rPr>
        <w:t>D</w:t>
      </w:r>
      <w:r w:rsidR="00CD47E7" w:rsidRPr="009E6764">
        <w:rPr>
          <w:sz w:val="24"/>
          <w:szCs w:val="24"/>
        </w:rPr>
        <w:t xml:space="preserve"> og </w:t>
      </w:r>
      <w:r w:rsidR="009E6764">
        <w:rPr>
          <w:sz w:val="24"/>
          <w:szCs w:val="24"/>
        </w:rPr>
        <w:t xml:space="preserve">til </w:t>
      </w:r>
      <w:r w:rsidR="00CD47E7" w:rsidRPr="009E6764">
        <w:rPr>
          <w:sz w:val="24"/>
          <w:szCs w:val="24"/>
        </w:rPr>
        <w:t xml:space="preserve">undirstærða </w:t>
      </w:r>
      <w:r w:rsidR="009E6764">
        <w:rPr>
          <w:sz w:val="24"/>
          <w:szCs w:val="24"/>
        </w:rPr>
        <w:t>fyrir d/2</w:t>
      </w:r>
      <w:r w:rsidR="00113A18">
        <w:rPr>
          <w:sz w:val="24"/>
          <w:szCs w:val="24"/>
        </w:rPr>
        <w:t xml:space="preserve"> fyrir flokkað efni, en óflokkað efni telst ekki hafa undirstærðir</w:t>
      </w:r>
      <w:r w:rsidR="00CD47E7" w:rsidRPr="009E6764">
        <w:rPr>
          <w:sz w:val="24"/>
          <w:szCs w:val="24"/>
        </w:rPr>
        <w:t>.</w:t>
      </w:r>
    </w:p>
    <w:p w14:paraId="3443AF94" w14:textId="6416E40E" w:rsidR="00CD47E7" w:rsidRDefault="00CD47E7" w:rsidP="00CD47E7">
      <w:pPr>
        <w:pStyle w:val="FootnoteText"/>
        <w:ind w:firstLine="330"/>
        <w:jc w:val="both"/>
        <w:rPr>
          <w:sz w:val="24"/>
          <w:szCs w:val="24"/>
        </w:rPr>
      </w:pPr>
      <w:r w:rsidRPr="009E6764">
        <w:rPr>
          <w:sz w:val="24"/>
          <w:szCs w:val="24"/>
        </w:rPr>
        <w:t xml:space="preserve">Þegar undir- og yfirstærðir eru tilgreindar er hægt að velja um </w:t>
      </w:r>
      <w:r w:rsidR="00057D10">
        <w:rPr>
          <w:sz w:val="24"/>
          <w:szCs w:val="24"/>
        </w:rPr>
        <w:t xml:space="preserve">fjóra </w:t>
      </w:r>
      <w:r w:rsidR="009E6764">
        <w:rPr>
          <w:sz w:val="24"/>
          <w:szCs w:val="24"/>
        </w:rPr>
        <w:t xml:space="preserve">kosti </w:t>
      </w:r>
      <w:r w:rsidRPr="009E6764">
        <w:rPr>
          <w:sz w:val="24"/>
          <w:szCs w:val="24"/>
        </w:rPr>
        <w:t>fyrir</w:t>
      </w:r>
      <w:r>
        <w:rPr>
          <w:sz w:val="24"/>
          <w:szCs w:val="24"/>
        </w:rPr>
        <w:t xml:space="preserve"> flokkað efni</w:t>
      </w:r>
      <w:r w:rsidR="009E6764">
        <w:rPr>
          <w:sz w:val="24"/>
          <w:szCs w:val="24"/>
        </w:rPr>
        <w:t>. Í töflunum</w:t>
      </w:r>
      <w:r>
        <w:rPr>
          <w:sz w:val="24"/>
          <w:szCs w:val="24"/>
        </w:rPr>
        <w:t xml:space="preserve"> táknar </w:t>
      </w:r>
      <w:r w:rsidRPr="00B02713">
        <w:rPr>
          <w:sz w:val="24"/>
          <w:szCs w:val="24"/>
        </w:rPr>
        <w:t>G</w:t>
      </w:r>
      <w:r w:rsidRPr="00B02713">
        <w:rPr>
          <w:sz w:val="24"/>
          <w:szCs w:val="24"/>
          <w:vertAlign w:val="subscript"/>
        </w:rPr>
        <w:t>C</w:t>
      </w:r>
      <w:r w:rsidRPr="00B02713">
        <w:rPr>
          <w:sz w:val="24"/>
          <w:szCs w:val="24"/>
        </w:rPr>
        <w:t xml:space="preserve"> X</w:t>
      </w:r>
      <w:r>
        <w:rPr>
          <w:sz w:val="24"/>
          <w:szCs w:val="24"/>
        </w:rPr>
        <w:t>/</w:t>
      </w:r>
      <w:r w:rsidRPr="00B02713">
        <w:rPr>
          <w:sz w:val="24"/>
          <w:szCs w:val="24"/>
        </w:rPr>
        <w:t>Y að minnst X% efnisins eiga að smjúga grófara sigtið</w:t>
      </w:r>
      <w:r>
        <w:rPr>
          <w:sz w:val="24"/>
          <w:szCs w:val="24"/>
        </w:rPr>
        <w:t xml:space="preserve"> (efri flokkunarstærð),</w:t>
      </w:r>
      <w:r w:rsidRPr="00B02713">
        <w:rPr>
          <w:sz w:val="24"/>
          <w:szCs w:val="24"/>
        </w:rPr>
        <w:t xml:space="preserve"> mest Y% </w:t>
      </w:r>
      <w:r>
        <w:rPr>
          <w:sz w:val="24"/>
          <w:szCs w:val="24"/>
        </w:rPr>
        <w:t>m</w:t>
      </w:r>
      <w:r w:rsidRPr="00B02713">
        <w:rPr>
          <w:sz w:val="24"/>
          <w:szCs w:val="24"/>
        </w:rPr>
        <w:t>ega smjúga það fínna</w:t>
      </w:r>
      <w:r>
        <w:rPr>
          <w:sz w:val="24"/>
          <w:szCs w:val="24"/>
        </w:rPr>
        <w:t xml:space="preserve"> (neðri flokkunarstærð) og allt efnið á að smjúga sigti með möskvastærð 2</w:t>
      </w:r>
      <w:r w:rsidR="0025107D">
        <w:rPr>
          <w:sz w:val="24"/>
          <w:szCs w:val="24"/>
        </w:rPr>
        <w:t>*</w:t>
      </w:r>
      <w:r>
        <w:rPr>
          <w:sz w:val="24"/>
          <w:szCs w:val="24"/>
        </w:rPr>
        <w:t>D. Auk þess þarf sáldurferillinn að fara í gegnum tiltekin hlið fyrir sigtastærðirnar 1,4</w:t>
      </w:r>
      <w:r w:rsidR="0025107D">
        <w:rPr>
          <w:sz w:val="24"/>
          <w:szCs w:val="24"/>
        </w:rPr>
        <w:t>*</w:t>
      </w:r>
      <w:r>
        <w:rPr>
          <w:sz w:val="24"/>
          <w:szCs w:val="24"/>
        </w:rPr>
        <w:t>D og d/2.</w:t>
      </w:r>
    </w:p>
    <w:p w14:paraId="23B39656" w14:textId="5D37EA97" w:rsidR="00120A9F" w:rsidRDefault="00120A9F" w:rsidP="00120A9F">
      <w:pPr>
        <w:pStyle w:val="FootnoteText"/>
        <w:ind w:firstLine="330"/>
        <w:jc w:val="both"/>
        <w:rPr>
          <w:sz w:val="24"/>
          <w:szCs w:val="24"/>
        </w:rPr>
      </w:pPr>
      <w:r>
        <w:rPr>
          <w:sz w:val="24"/>
          <w:szCs w:val="24"/>
        </w:rPr>
        <w:t xml:space="preserve">Fyrir óflokkað efni er ekki um neinar undirstærðir að ræða þar sem neðri flokkunarstærð er 0. Yfirstærðir er hægt að velja úr </w:t>
      </w:r>
      <w:r w:rsidR="00BD574F">
        <w:rPr>
          <w:sz w:val="24"/>
          <w:szCs w:val="24"/>
        </w:rPr>
        <w:t xml:space="preserve">þremur </w:t>
      </w:r>
      <w:r>
        <w:rPr>
          <w:sz w:val="24"/>
          <w:szCs w:val="24"/>
        </w:rPr>
        <w:t>flokkum,</w:t>
      </w:r>
      <w:r w:rsidR="00BD574F">
        <w:rPr>
          <w:sz w:val="24"/>
          <w:szCs w:val="24"/>
        </w:rPr>
        <w:t xml:space="preserve"> sem sagt</w:t>
      </w:r>
      <w:r>
        <w:rPr>
          <w:sz w:val="24"/>
          <w:szCs w:val="24"/>
        </w:rPr>
        <w:t xml:space="preserve"> </w:t>
      </w:r>
      <w:r w:rsidRPr="007D01FD">
        <w:rPr>
          <w:sz w:val="24"/>
          <w:szCs w:val="24"/>
        </w:rPr>
        <w:t>G</w:t>
      </w:r>
      <w:r w:rsidRPr="007D01FD">
        <w:rPr>
          <w:sz w:val="24"/>
          <w:szCs w:val="24"/>
          <w:vertAlign w:val="subscript"/>
        </w:rPr>
        <w:t>A</w:t>
      </w:r>
      <w:r w:rsidRPr="007D01FD">
        <w:rPr>
          <w:sz w:val="24"/>
          <w:szCs w:val="24"/>
        </w:rPr>
        <w:t xml:space="preserve"> 90</w:t>
      </w:r>
      <w:r>
        <w:rPr>
          <w:sz w:val="24"/>
          <w:szCs w:val="24"/>
        </w:rPr>
        <w:t xml:space="preserve">, </w:t>
      </w:r>
      <w:r w:rsidRPr="007D01FD">
        <w:rPr>
          <w:sz w:val="24"/>
          <w:szCs w:val="24"/>
        </w:rPr>
        <w:t>G</w:t>
      </w:r>
      <w:r w:rsidRPr="007D01FD">
        <w:rPr>
          <w:sz w:val="24"/>
          <w:szCs w:val="24"/>
          <w:vertAlign w:val="subscript"/>
        </w:rPr>
        <w:t>A</w:t>
      </w:r>
      <w:r w:rsidRPr="007D01FD">
        <w:rPr>
          <w:sz w:val="24"/>
          <w:szCs w:val="24"/>
        </w:rPr>
        <w:t xml:space="preserve"> </w:t>
      </w:r>
      <w:r w:rsidR="00352BAA">
        <w:rPr>
          <w:sz w:val="24"/>
          <w:szCs w:val="24"/>
        </w:rPr>
        <w:t>85 og</w:t>
      </w:r>
      <w:r w:rsidRPr="007D01FD">
        <w:rPr>
          <w:sz w:val="24"/>
          <w:szCs w:val="24"/>
        </w:rPr>
        <w:t xml:space="preserve"> G</w:t>
      </w:r>
      <w:r w:rsidRPr="007D01FD">
        <w:rPr>
          <w:sz w:val="24"/>
          <w:szCs w:val="24"/>
          <w:vertAlign w:val="subscript"/>
        </w:rPr>
        <w:t>A</w:t>
      </w:r>
      <w:r w:rsidRPr="007D01FD">
        <w:rPr>
          <w:sz w:val="24"/>
          <w:szCs w:val="24"/>
        </w:rPr>
        <w:t xml:space="preserve"> </w:t>
      </w:r>
      <w:r>
        <w:rPr>
          <w:sz w:val="24"/>
          <w:szCs w:val="24"/>
        </w:rPr>
        <w:t>8</w:t>
      </w:r>
      <w:r w:rsidRPr="007D01FD">
        <w:rPr>
          <w:sz w:val="24"/>
          <w:szCs w:val="24"/>
        </w:rPr>
        <w:t xml:space="preserve">0 </w:t>
      </w:r>
      <w:r>
        <w:rPr>
          <w:sz w:val="24"/>
          <w:szCs w:val="24"/>
        </w:rPr>
        <w:t>þar sem G</w:t>
      </w:r>
      <w:r w:rsidRPr="003C1AC3">
        <w:rPr>
          <w:sz w:val="24"/>
          <w:szCs w:val="24"/>
          <w:vertAlign w:val="subscript"/>
        </w:rPr>
        <w:t>A</w:t>
      </w:r>
      <w:r>
        <w:rPr>
          <w:sz w:val="24"/>
          <w:szCs w:val="24"/>
        </w:rPr>
        <w:t xml:space="preserve"> X táknar að minnst X% eiga að smjúga sigti sem svarar til efri flokkunarstærðar. Allt efnið á að smjúga sigti með möskvastærð 2</w:t>
      </w:r>
      <w:r w:rsidR="0025107D">
        <w:rPr>
          <w:sz w:val="24"/>
          <w:szCs w:val="24"/>
        </w:rPr>
        <w:t>*</w:t>
      </w:r>
      <w:r>
        <w:rPr>
          <w:sz w:val="24"/>
          <w:szCs w:val="24"/>
        </w:rPr>
        <w:t>D og minnst 98 % sigti með möskvastærð 1,4</w:t>
      </w:r>
      <w:r w:rsidR="0025107D">
        <w:rPr>
          <w:sz w:val="24"/>
          <w:szCs w:val="24"/>
        </w:rPr>
        <w:t>*</w:t>
      </w:r>
      <w:r>
        <w:rPr>
          <w:sz w:val="24"/>
          <w:szCs w:val="24"/>
        </w:rPr>
        <w:t>D.</w:t>
      </w:r>
    </w:p>
    <w:p w14:paraId="3B9B255A" w14:textId="77777777" w:rsidR="009B0C28" w:rsidRPr="00550912" w:rsidRDefault="009B0C28" w:rsidP="002C7F55">
      <w:pPr>
        <w:pStyle w:val="BodyTextIndent"/>
        <w:spacing w:before="0"/>
        <w:ind w:left="0"/>
        <w:jc w:val="both"/>
      </w:pPr>
    </w:p>
    <w:p w14:paraId="4F3B7D12" w14:textId="55D1AC75" w:rsidR="00A8726A" w:rsidRPr="0057755A" w:rsidRDefault="00550912" w:rsidP="00BD574F">
      <w:pPr>
        <w:pStyle w:val="BodyText"/>
        <w:spacing w:after="240"/>
        <w:jc w:val="both"/>
        <w:rPr>
          <w:b w:val="0"/>
        </w:rPr>
      </w:pPr>
      <w:r w:rsidRPr="00550912">
        <w:t>Tafla</w:t>
      </w:r>
      <w:r w:rsidR="00A8726A" w:rsidRPr="00550912">
        <w:t xml:space="preserve"> </w:t>
      </w:r>
      <w:r w:rsidR="0072474B">
        <w:t>4.3</w:t>
      </w:r>
      <w:r w:rsidR="008854B5">
        <w:t>:</w:t>
      </w:r>
      <w:r w:rsidR="0012777F">
        <w:rPr>
          <w:b w:val="0"/>
        </w:rPr>
        <w:t xml:space="preserve"> </w:t>
      </w:r>
      <w:r w:rsidR="00D74929">
        <w:rPr>
          <w:b w:val="0"/>
        </w:rPr>
        <w:t>Flokkar</w:t>
      </w:r>
      <w:r w:rsidR="00A8726A" w:rsidRPr="0057755A">
        <w:rPr>
          <w:b w:val="0"/>
        </w:rPr>
        <w:t xml:space="preserve"> um vikmörk á kornastærðardreifingu </w:t>
      </w:r>
      <w:r w:rsidR="00D74929">
        <w:rPr>
          <w:b w:val="0"/>
        </w:rPr>
        <w:t>stein</w:t>
      </w:r>
      <w:r w:rsidR="008854B5">
        <w:rPr>
          <w:b w:val="0"/>
        </w:rPr>
        <w:t>efna</w:t>
      </w:r>
    </w:p>
    <w:tbl>
      <w:tblPr>
        <w:tblW w:w="9252" w:type="dxa"/>
        <w:tblInd w:w="-150" w:type="dxa"/>
        <w:shd w:val="clear" w:color="auto" w:fill="FFFFFF" w:themeFill="background1"/>
        <w:tblLayout w:type="fixed"/>
        <w:tblCellMar>
          <w:left w:w="30" w:type="dxa"/>
          <w:right w:w="30" w:type="dxa"/>
        </w:tblCellMar>
        <w:tblLook w:val="0000" w:firstRow="0" w:lastRow="0" w:firstColumn="0" w:lastColumn="0" w:noHBand="0" w:noVBand="0"/>
      </w:tblPr>
      <w:tblGrid>
        <w:gridCol w:w="1456"/>
        <w:gridCol w:w="992"/>
        <w:gridCol w:w="993"/>
        <w:gridCol w:w="1134"/>
        <w:gridCol w:w="1134"/>
        <w:gridCol w:w="1134"/>
        <w:gridCol w:w="1134"/>
        <w:gridCol w:w="1275"/>
      </w:tblGrid>
      <w:tr w:rsidR="00A8726A" w:rsidRPr="004F3B35" w14:paraId="5BA8040F" w14:textId="77777777" w:rsidTr="00D46BF6">
        <w:trPr>
          <w:trHeight w:val="247"/>
        </w:trPr>
        <w:tc>
          <w:tcPr>
            <w:tcW w:w="1456" w:type="dxa"/>
            <w:tcBorders>
              <w:top w:val="single" w:sz="6" w:space="0" w:color="auto"/>
              <w:left w:val="single" w:sz="6" w:space="0" w:color="auto"/>
              <w:right w:val="single" w:sz="6" w:space="0" w:color="auto"/>
            </w:tcBorders>
            <w:shd w:val="clear" w:color="auto" w:fill="DAEEF3" w:themeFill="accent5" w:themeFillTint="33"/>
          </w:tcPr>
          <w:p w14:paraId="3839F035" w14:textId="77777777" w:rsidR="00A8726A" w:rsidRPr="004F3B35" w:rsidRDefault="00A8726A">
            <w:pPr>
              <w:rPr>
                <w:rFonts w:ascii="Arial" w:hAnsi="Arial" w:cs="Arial"/>
                <w:snapToGrid w:val="0"/>
                <w:color w:val="000000"/>
                <w:sz w:val="22"/>
                <w:szCs w:val="22"/>
              </w:rPr>
            </w:pPr>
            <w:r w:rsidRPr="004F3B35">
              <w:rPr>
                <w:rFonts w:ascii="Arial" w:hAnsi="Arial" w:cs="Arial"/>
                <w:snapToGrid w:val="0"/>
                <w:color w:val="000000"/>
                <w:sz w:val="22"/>
                <w:szCs w:val="22"/>
              </w:rPr>
              <w:t>Steinefni</w:t>
            </w:r>
          </w:p>
        </w:tc>
        <w:tc>
          <w:tcPr>
            <w:tcW w:w="992" w:type="dxa"/>
            <w:tcBorders>
              <w:top w:val="single" w:sz="6" w:space="0" w:color="auto"/>
              <w:left w:val="single" w:sz="6" w:space="0" w:color="auto"/>
              <w:right w:val="single" w:sz="6" w:space="0" w:color="auto"/>
            </w:tcBorders>
            <w:shd w:val="clear" w:color="auto" w:fill="DAEEF3" w:themeFill="accent5" w:themeFillTint="33"/>
          </w:tcPr>
          <w:p w14:paraId="21C104D6" w14:textId="77777777" w:rsidR="00A8726A" w:rsidRPr="004F3B35" w:rsidRDefault="00A8726A">
            <w:pPr>
              <w:rPr>
                <w:rFonts w:ascii="Arial" w:hAnsi="Arial" w:cs="Arial"/>
                <w:snapToGrid w:val="0"/>
                <w:color w:val="000000"/>
                <w:sz w:val="22"/>
                <w:szCs w:val="22"/>
              </w:rPr>
            </w:pPr>
            <w:r w:rsidRPr="004F3B35">
              <w:rPr>
                <w:rFonts w:ascii="Arial" w:hAnsi="Arial" w:cs="Arial"/>
                <w:snapToGrid w:val="0"/>
                <w:color w:val="000000"/>
                <w:sz w:val="22"/>
                <w:szCs w:val="22"/>
              </w:rPr>
              <w:t>Stærð, mm</w:t>
            </w:r>
          </w:p>
        </w:tc>
        <w:tc>
          <w:tcPr>
            <w:tcW w:w="993" w:type="dxa"/>
            <w:tcBorders>
              <w:top w:val="single" w:sz="6" w:space="0" w:color="auto"/>
              <w:left w:val="single" w:sz="6" w:space="0" w:color="auto"/>
              <w:bottom w:val="single" w:sz="6" w:space="0" w:color="auto"/>
            </w:tcBorders>
            <w:shd w:val="clear" w:color="auto" w:fill="DAEEF3" w:themeFill="accent5" w:themeFillTint="33"/>
          </w:tcPr>
          <w:p w14:paraId="04E34895" w14:textId="77777777" w:rsidR="00A8726A" w:rsidRPr="004F3B35" w:rsidRDefault="00A8726A">
            <w:pPr>
              <w:jc w:val="right"/>
              <w:rPr>
                <w:rFonts w:ascii="Arial" w:hAnsi="Arial" w:cs="Arial"/>
                <w:snapToGrid w:val="0"/>
                <w:color w:val="000000"/>
                <w:sz w:val="22"/>
                <w:szCs w:val="22"/>
              </w:rPr>
            </w:pPr>
          </w:p>
        </w:tc>
        <w:tc>
          <w:tcPr>
            <w:tcW w:w="3402" w:type="dxa"/>
            <w:gridSpan w:val="3"/>
            <w:tcBorders>
              <w:top w:val="single" w:sz="6" w:space="0" w:color="auto"/>
              <w:bottom w:val="single" w:sz="6" w:space="0" w:color="auto"/>
            </w:tcBorders>
            <w:shd w:val="clear" w:color="auto" w:fill="DAEEF3" w:themeFill="accent5" w:themeFillTint="33"/>
          </w:tcPr>
          <w:p w14:paraId="1E643082" w14:textId="77777777" w:rsidR="00A8726A" w:rsidRPr="004F3B35" w:rsidRDefault="00A8726A">
            <w:pPr>
              <w:rPr>
                <w:rFonts w:ascii="Arial" w:hAnsi="Arial" w:cs="Arial"/>
                <w:snapToGrid w:val="0"/>
                <w:color w:val="000000"/>
                <w:sz w:val="22"/>
                <w:szCs w:val="22"/>
              </w:rPr>
            </w:pPr>
            <w:r w:rsidRPr="004F3B35">
              <w:rPr>
                <w:rFonts w:ascii="Arial" w:hAnsi="Arial" w:cs="Arial"/>
                <w:snapToGrid w:val="0"/>
                <w:color w:val="000000"/>
                <w:sz w:val="22"/>
                <w:szCs w:val="22"/>
              </w:rPr>
              <w:t>Sáldur, þyngdarprósenta</w:t>
            </w:r>
          </w:p>
        </w:tc>
        <w:tc>
          <w:tcPr>
            <w:tcW w:w="1134" w:type="dxa"/>
            <w:tcBorders>
              <w:top w:val="single" w:sz="6" w:space="0" w:color="auto"/>
              <w:bottom w:val="single" w:sz="6" w:space="0" w:color="auto"/>
              <w:right w:val="single" w:sz="6" w:space="0" w:color="auto"/>
            </w:tcBorders>
            <w:shd w:val="clear" w:color="auto" w:fill="DAEEF3" w:themeFill="accent5" w:themeFillTint="33"/>
          </w:tcPr>
          <w:p w14:paraId="04A59D6F" w14:textId="77777777" w:rsidR="00A8726A" w:rsidRPr="004F3B35" w:rsidRDefault="00A8726A">
            <w:pPr>
              <w:jc w:val="right"/>
              <w:rPr>
                <w:rFonts w:ascii="Arial" w:hAnsi="Arial" w:cs="Arial"/>
                <w:snapToGrid w:val="0"/>
                <w:color w:val="000000"/>
                <w:sz w:val="22"/>
                <w:szCs w:val="22"/>
              </w:rPr>
            </w:pPr>
          </w:p>
        </w:tc>
        <w:tc>
          <w:tcPr>
            <w:tcW w:w="1275" w:type="dxa"/>
            <w:tcBorders>
              <w:top w:val="single" w:sz="6" w:space="0" w:color="auto"/>
              <w:left w:val="single" w:sz="6" w:space="0" w:color="auto"/>
              <w:right w:val="single" w:sz="6" w:space="0" w:color="auto"/>
            </w:tcBorders>
            <w:shd w:val="clear" w:color="auto" w:fill="DAEEF3" w:themeFill="accent5" w:themeFillTint="33"/>
          </w:tcPr>
          <w:p w14:paraId="60955342" w14:textId="77777777" w:rsidR="00A8726A" w:rsidRPr="004F3B35" w:rsidRDefault="00A8726A" w:rsidP="00172113">
            <w:pPr>
              <w:jc w:val="center"/>
              <w:rPr>
                <w:rFonts w:ascii="Arial" w:hAnsi="Arial" w:cs="Arial"/>
                <w:snapToGrid w:val="0"/>
                <w:color w:val="000000"/>
                <w:sz w:val="22"/>
                <w:szCs w:val="22"/>
              </w:rPr>
            </w:pPr>
            <w:r w:rsidRPr="004F3B35">
              <w:rPr>
                <w:rFonts w:ascii="Arial" w:hAnsi="Arial" w:cs="Arial"/>
                <w:snapToGrid w:val="0"/>
                <w:color w:val="000000"/>
                <w:sz w:val="22"/>
                <w:szCs w:val="22"/>
              </w:rPr>
              <w:t>Flokkur</w:t>
            </w:r>
          </w:p>
        </w:tc>
      </w:tr>
      <w:tr w:rsidR="00A8726A" w:rsidRPr="004F3B35" w14:paraId="02BB18D9" w14:textId="77777777" w:rsidTr="00D46BF6">
        <w:trPr>
          <w:trHeight w:val="305"/>
        </w:trPr>
        <w:tc>
          <w:tcPr>
            <w:tcW w:w="1456" w:type="dxa"/>
            <w:tcBorders>
              <w:left w:val="single" w:sz="6" w:space="0" w:color="auto"/>
              <w:bottom w:val="single" w:sz="6" w:space="0" w:color="auto"/>
              <w:right w:val="single" w:sz="6" w:space="0" w:color="auto"/>
            </w:tcBorders>
            <w:shd w:val="clear" w:color="auto" w:fill="DAEEF3" w:themeFill="accent5" w:themeFillTint="33"/>
          </w:tcPr>
          <w:p w14:paraId="57B0A1AB" w14:textId="77777777" w:rsidR="00A8726A" w:rsidRPr="004F3B35" w:rsidRDefault="00A8726A">
            <w:pPr>
              <w:jc w:val="center"/>
              <w:rPr>
                <w:rFonts w:ascii="Arial" w:hAnsi="Arial" w:cs="Arial"/>
                <w:snapToGrid w:val="0"/>
                <w:color w:val="000000"/>
                <w:sz w:val="22"/>
                <w:szCs w:val="22"/>
              </w:rPr>
            </w:pPr>
          </w:p>
        </w:tc>
        <w:tc>
          <w:tcPr>
            <w:tcW w:w="992" w:type="dxa"/>
            <w:tcBorders>
              <w:left w:val="single" w:sz="6" w:space="0" w:color="auto"/>
              <w:bottom w:val="single" w:sz="6" w:space="0" w:color="auto"/>
              <w:right w:val="single" w:sz="6" w:space="0" w:color="auto"/>
            </w:tcBorders>
            <w:shd w:val="clear" w:color="auto" w:fill="DAEEF3" w:themeFill="accent5" w:themeFillTint="33"/>
          </w:tcPr>
          <w:p w14:paraId="2E36FE61" w14:textId="77777777" w:rsidR="00A8726A" w:rsidRPr="004F3B35" w:rsidRDefault="00A8726A">
            <w:pPr>
              <w:jc w:val="center"/>
              <w:rPr>
                <w:rFonts w:ascii="Arial" w:hAnsi="Arial" w:cs="Arial"/>
                <w:snapToGrid w:val="0"/>
                <w:color w:val="000000"/>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EC9A03D" w14:textId="3DC14104" w:rsidR="00A8726A" w:rsidRPr="004F3B35" w:rsidRDefault="00A8726A">
            <w:pPr>
              <w:jc w:val="center"/>
              <w:rPr>
                <w:rFonts w:ascii="Arial" w:hAnsi="Arial" w:cs="Arial"/>
                <w:i/>
                <w:snapToGrid w:val="0"/>
                <w:color w:val="000000"/>
                <w:sz w:val="22"/>
                <w:szCs w:val="22"/>
              </w:rPr>
            </w:pPr>
            <w:r w:rsidRPr="004F3B35">
              <w:rPr>
                <w:rFonts w:ascii="Arial" w:hAnsi="Arial" w:cs="Arial"/>
                <w:i/>
                <w:snapToGrid w:val="0"/>
                <w:color w:val="000000"/>
                <w:sz w:val="22"/>
                <w:szCs w:val="22"/>
              </w:rPr>
              <w:t>2 D</w:t>
            </w:r>
            <w:r w:rsidR="00172113" w:rsidRPr="004F3B35">
              <w:rPr>
                <w:rFonts w:ascii="Arial" w:hAnsi="Arial" w:cs="Arial"/>
                <w:i/>
                <w:snapToGrid w:val="0"/>
                <w:color w:val="000000"/>
                <w:sz w:val="22"/>
                <w:szCs w:val="22"/>
                <w:vertAlign w:val="superscript"/>
              </w:rPr>
              <w:t>a</w:t>
            </w:r>
            <w:r w:rsidR="005F1ABB">
              <w:rPr>
                <w:rFonts w:ascii="Arial" w:hAnsi="Arial" w:cs="Arial"/>
                <w:i/>
                <w:snapToGrid w:val="0"/>
                <w:color w:val="000000"/>
                <w:sz w:val="22"/>
                <w:szCs w:val="22"/>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8150532" w14:textId="77777777" w:rsidR="00A8726A" w:rsidRPr="004F3B35" w:rsidRDefault="00A8726A">
            <w:pPr>
              <w:jc w:val="center"/>
              <w:rPr>
                <w:rFonts w:ascii="Arial" w:hAnsi="Arial" w:cs="Arial"/>
                <w:i/>
                <w:snapToGrid w:val="0"/>
                <w:color w:val="000000"/>
                <w:sz w:val="22"/>
                <w:szCs w:val="22"/>
                <w:vertAlign w:val="superscript"/>
              </w:rPr>
            </w:pPr>
            <w:r w:rsidRPr="004F3B35">
              <w:rPr>
                <w:rFonts w:ascii="Arial" w:hAnsi="Arial" w:cs="Arial"/>
                <w:i/>
                <w:snapToGrid w:val="0"/>
                <w:color w:val="000000"/>
                <w:sz w:val="22"/>
                <w:szCs w:val="22"/>
              </w:rPr>
              <w:t>1,4 D</w:t>
            </w: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975427B" w14:textId="30F4E350" w:rsidR="00A8726A" w:rsidRPr="004F3B35" w:rsidRDefault="00A8726A">
            <w:pPr>
              <w:jc w:val="center"/>
              <w:rPr>
                <w:rFonts w:ascii="Arial" w:hAnsi="Arial" w:cs="Arial"/>
                <w:i/>
                <w:snapToGrid w:val="0"/>
                <w:color w:val="000000"/>
                <w:sz w:val="22"/>
                <w:szCs w:val="22"/>
              </w:rPr>
            </w:pPr>
            <w:r w:rsidRPr="004F3B35">
              <w:rPr>
                <w:rFonts w:ascii="Arial" w:hAnsi="Arial" w:cs="Arial"/>
                <w:i/>
                <w:snapToGrid w:val="0"/>
                <w:color w:val="000000"/>
                <w:sz w:val="22"/>
                <w:szCs w:val="22"/>
              </w:rPr>
              <w:t>D</w:t>
            </w:r>
            <w:r w:rsidR="00172113" w:rsidRPr="004F3B35">
              <w:rPr>
                <w:rFonts w:ascii="Arial" w:hAnsi="Arial" w:cs="Arial"/>
                <w:i/>
                <w:snapToGrid w:val="0"/>
                <w:color w:val="000000"/>
                <w:sz w:val="22"/>
                <w:szCs w:val="22"/>
                <w:vertAlign w:val="superscript"/>
              </w:rPr>
              <w:t>b</w:t>
            </w:r>
            <w:r w:rsidR="005F1ABB">
              <w:rPr>
                <w:rFonts w:ascii="Arial" w:hAnsi="Arial" w:cs="Arial"/>
                <w:i/>
                <w:snapToGrid w:val="0"/>
                <w:color w:val="000000"/>
                <w:sz w:val="22"/>
                <w:szCs w:val="22"/>
                <w:vertAlign w:val="superscript"/>
              </w:rPr>
              <w:t>), c)</w:t>
            </w: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2843110" w14:textId="77777777" w:rsidR="00A8726A" w:rsidRPr="004F3B35" w:rsidRDefault="00A8726A">
            <w:pPr>
              <w:jc w:val="center"/>
              <w:rPr>
                <w:rFonts w:ascii="Arial" w:hAnsi="Arial" w:cs="Arial"/>
                <w:i/>
                <w:snapToGrid w:val="0"/>
                <w:color w:val="000000"/>
                <w:sz w:val="22"/>
                <w:szCs w:val="22"/>
              </w:rPr>
            </w:pPr>
            <w:r w:rsidRPr="004F3B35">
              <w:rPr>
                <w:rFonts w:ascii="Arial" w:hAnsi="Arial" w:cs="Arial"/>
                <w:i/>
                <w:snapToGrid w:val="0"/>
                <w:color w:val="000000"/>
                <w:sz w:val="22"/>
                <w:szCs w:val="22"/>
              </w:rPr>
              <w:t>d</w:t>
            </w:r>
          </w:p>
        </w:tc>
        <w:tc>
          <w:tcPr>
            <w:tcW w:w="113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45B1E7C" w14:textId="77777777" w:rsidR="00A8726A" w:rsidRPr="004F3B35" w:rsidRDefault="00A8726A">
            <w:pPr>
              <w:jc w:val="center"/>
              <w:rPr>
                <w:rFonts w:ascii="Arial" w:hAnsi="Arial" w:cs="Arial"/>
                <w:i/>
                <w:snapToGrid w:val="0"/>
                <w:color w:val="000000"/>
                <w:sz w:val="22"/>
                <w:szCs w:val="22"/>
                <w:vertAlign w:val="superscript"/>
              </w:rPr>
            </w:pPr>
            <w:r w:rsidRPr="004F3B35">
              <w:rPr>
                <w:rFonts w:ascii="Arial" w:hAnsi="Arial" w:cs="Arial"/>
                <w:i/>
                <w:snapToGrid w:val="0"/>
                <w:color w:val="000000"/>
                <w:sz w:val="22"/>
                <w:szCs w:val="22"/>
              </w:rPr>
              <w:t>d/2</w:t>
            </w:r>
          </w:p>
        </w:tc>
        <w:tc>
          <w:tcPr>
            <w:tcW w:w="1275" w:type="dxa"/>
            <w:tcBorders>
              <w:left w:val="single" w:sz="6" w:space="0" w:color="auto"/>
              <w:bottom w:val="single" w:sz="6" w:space="0" w:color="auto"/>
              <w:right w:val="single" w:sz="6" w:space="0" w:color="auto"/>
            </w:tcBorders>
            <w:shd w:val="clear" w:color="auto" w:fill="DAEEF3" w:themeFill="accent5" w:themeFillTint="33"/>
          </w:tcPr>
          <w:p w14:paraId="46AD55A3" w14:textId="77777777" w:rsidR="00A8726A" w:rsidRPr="004F3B35" w:rsidRDefault="00172113" w:rsidP="00172113">
            <w:pPr>
              <w:jc w:val="center"/>
              <w:rPr>
                <w:rFonts w:ascii="Arial" w:hAnsi="Arial" w:cs="Arial"/>
                <w:i/>
                <w:snapToGrid w:val="0"/>
                <w:color w:val="000000"/>
                <w:sz w:val="22"/>
                <w:szCs w:val="22"/>
              </w:rPr>
            </w:pPr>
            <w:r w:rsidRPr="004F3B35">
              <w:rPr>
                <w:rFonts w:ascii="Arial" w:hAnsi="Arial" w:cs="Arial"/>
                <w:i/>
                <w:snapToGrid w:val="0"/>
                <w:color w:val="000000"/>
                <w:sz w:val="22"/>
                <w:szCs w:val="22"/>
              </w:rPr>
              <w:t>G</w:t>
            </w:r>
          </w:p>
        </w:tc>
      </w:tr>
      <w:tr w:rsidR="00A8726A" w:rsidRPr="004F3B35" w14:paraId="1D40E851" w14:textId="77777777" w:rsidTr="00D46BF6">
        <w:trPr>
          <w:trHeight w:val="247"/>
        </w:trPr>
        <w:tc>
          <w:tcPr>
            <w:tcW w:w="1456" w:type="dxa"/>
            <w:tcBorders>
              <w:top w:val="single" w:sz="6" w:space="0" w:color="auto"/>
              <w:left w:val="single" w:sz="6" w:space="0" w:color="auto"/>
              <w:right w:val="single" w:sz="6" w:space="0" w:color="auto"/>
            </w:tcBorders>
            <w:shd w:val="clear" w:color="auto" w:fill="FFFFFF" w:themeFill="background1"/>
          </w:tcPr>
          <w:p w14:paraId="5EB4ED02" w14:textId="299F1723" w:rsidR="00A8726A" w:rsidRPr="004F3B35" w:rsidRDefault="009B0C28" w:rsidP="005171A4">
            <w:pPr>
              <w:rPr>
                <w:rFonts w:ascii="Arial" w:hAnsi="Arial" w:cs="Arial"/>
                <w:snapToGrid w:val="0"/>
                <w:color w:val="000000"/>
                <w:sz w:val="22"/>
                <w:szCs w:val="22"/>
              </w:rPr>
            </w:pPr>
            <w:r>
              <w:rPr>
                <w:rFonts w:ascii="Arial" w:hAnsi="Arial" w:cs="Arial"/>
                <w:snapToGrid w:val="0"/>
                <w:color w:val="000000"/>
                <w:sz w:val="22"/>
                <w:szCs w:val="22"/>
              </w:rPr>
              <w:t xml:space="preserve">Flokkað </w:t>
            </w:r>
          </w:p>
        </w:tc>
        <w:tc>
          <w:tcPr>
            <w:tcW w:w="992" w:type="dxa"/>
            <w:tcBorders>
              <w:top w:val="single" w:sz="6" w:space="0" w:color="auto"/>
              <w:left w:val="single" w:sz="6" w:space="0" w:color="auto"/>
              <w:right w:val="single" w:sz="6" w:space="0" w:color="auto"/>
            </w:tcBorders>
            <w:shd w:val="clear" w:color="auto" w:fill="FDE9D9" w:themeFill="accent6" w:themeFillTint="33"/>
          </w:tcPr>
          <w:p w14:paraId="5DF55E10" w14:textId="77777777" w:rsidR="00A8726A" w:rsidRPr="004F3B35" w:rsidRDefault="007022B7" w:rsidP="007022B7">
            <w:pPr>
              <w:jc w:val="center"/>
              <w:rPr>
                <w:rFonts w:ascii="Arial" w:hAnsi="Arial" w:cs="Arial"/>
                <w:snapToGrid w:val="0"/>
                <w:color w:val="000000"/>
                <w:sz w:val="22"/>
                <w:szCs w:val="22"/>
              </w:rPr>
            </w:pPr>
            <w:r w:rsidRPr="004F3B35">
              <w:rPr>
                <w:rFonts w:ascii="Arial" w:hAnsi="Arial" w:cs="Arial"/>
                <w:snapToGrid w:val="0"/>
                <w:color w:val="000000"/>
                <w:sz w:val="22"/>
                <w:szCs w:val="22"/>
              </w:rPr>
              <w:t>D &gt; 4</w:t>
            </w:r>
          </w:p>
        </w:tc>
        <w:tc>
          <w:tcPr>
            <w:tcW w:w="993" w:type="dxa"/>
            <w:tcBorders>
              <w:top w:val="single" w:sz="6" w:space="0" w:color="auto"/>
              <w:left w:val="single" w:sz="6" w:space="0" w:color="auto"/>
            </w:tcBorders>
            <w:shd w:val="clear" w:color="auto" w:fill="FDE9D9" w:themeFill="accent6" w:themeFillTint="33"/>
          </w:tcPr>
          <w:p w14:paraId="292671B7"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100</w:t>
            </w:r>
          </w:p>
        </w:tc>
        <w:tc>
          <w:tcPr>
            <w:tcW w:w="1134" w:type="dxa"/>
            <w:tcBorders>
              <w:top w:val="single" w:sz="6" w:space="0" w:color="auto"/>
              <w:left w:val="single" w:sz="6" w:space="0" w:color="auto"/>
              <w:right w:val="single" w:sz="6" w:space="0" w:color="auto"/>
            </w:tcBorders>
            <w:shd w:val="clear" w:color="auto" w:fill="FDE9D9" w:themeFill="accent6" w:themeFillTint="33"/>
          </w:tcPr>
          <w:p w14:paraId="42E55485"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100</w:t>
            </w:r>
          </w:p>
        </w:tc>
        <w:tc>
          <w:tcPr>
            <w:tcW w:w="1134" w:type="dxa"/>
            <w:tcBorders>
              <w:top w:val="single" w:sz="6" w:space="0" w:color="auto"/>
            </w:tcBorders>
            <w:shd w:val="clear" w:color="auto" w:fill="FDE9D9" w:themeFill="accent6" w:themeFillTint="33"/>
          </w:tcPr>
          <w:p w14:paraId="72E84064"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90 til 99</w:t>
            </w:r>
          </w:p>
        </w:tc>
        <w:tc>
          <w:tcPr>
            <w:tcW w:w="1134" w:type="dxa"/>
            <w:tcBorders>
              <w:top w:val="single" w:sz="6" w:space="0" w:color="auto"/>
              <w:left w:val="single" w:sz="6" w:space="0" w:color="auto"/>
              <w:right w:val="single" w:sz="6" w:space="0" w:color="auto"/>
            </w:tcBorders>
            <w:shd w:val="clear" w:color="auto" w:fill="FDE9D9" w:themeFill="accent6" w:themeFillTint="33"/>
          </w:tcPr>
          <w:p w14:paraId="52FB2082"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0 til 10</w:t>
            </w:r>
          </w:p>
        </w:tc>
        <w:tc>
          <w:tcPr>
            <w:tcW w:w="1134" w:type="dxa"/>
            <w:tcBorders>
              <w:top w:val="single" w:sz="6" w:space="0" w:color="auto"/>
            </w:tcBorders>
            <w:shd w:val="clear" w:color="auto" w:fill="FDE9D9" w:themeFill="accent6" w:themeFillTint="33"/>
          </w:tcPr>
          <w:p w14:paraId="071AEF86"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0 til 2</w:t>
            </w:r>
          </w:p>
        </w:tc>
        <w:tc>
          <w:tcPr>
            <w:tcW w:w="1275" w:type="dxa"/>
            <w:tcBorders>
              <w:top w:val="single" w:sz="6" w:space="0" w:color="auto"/>
              <w:left w:val="single" w:sz="6" w:space="0" w:color="auto"/>
              <w:right w:val="single" w:sz="6" w:space="0" w:color="auto"/>
            </w:tcBorders>
            <w:shd w:val="clear" w:color="auto" w:fill="FDE9D9" w:themeFill="accent6" w:themeFillTint="33"/>
          </w:tcPr>
          <w:p w14:paraId="2F63A86B" w14:textId="77777777" w:rsidR="00A8726A" w:rsidRPr="004F3B35" w:rsidRDefault="00172113">
            <w:pPr>
              <w:jc w:val="center"/>
              <w:rPr>
                <w:rFonts w:ascii="Arial" w:hAnsi="Arial" w:cs="Arial"/>
                <w:snapToGrid w:val="0"/>
                <w:color w:val="000000"/>
                <w:sz w:val="22"/>
                <w:szCs w:val="22"/>
              </w:rPr>
            </w:pPr>
            <w:r w:rsidRPr="004F3B35">
              <w:rPr>
                <w:rFonts w:ascii="Arial" w:hAnsi="Arial" w:cs="Arial"/>
                <w:snapToGrid w:val="0"/>
                <w:color w:val="000000"/>
                <w:sz w:val="22"/>
                <w:szCs w:val="22"/>
              </w:rPr>
              <w:t>G</w:t>
            </w:r>
            <w:r w:rsidRPr="004F3B35">
              <w:rPr>
                <w:rFonts w:ascii="Arial" w:hAnsi="Arial" w:cs="Arial"/>
                <w:snapToGrid w:val="0"/>
                <w:color w:val="000000"/>
                <w:sz w:val="22"/>
                <w:szCs w:val="22"/>
                <w:vertAlign w:val="subscript"/>
              </w:rPr>
              <w:t>C</w:t>
            </w:r>
            <w:r w:rsidR="00A8726A" w:rsidRPr="004F3B35">
              <w:rPr>
                <w:rFonts w:ascii="Arial" w:hAnsi="Arial" w:cs="Arial"/>
                <w:snapToGrid w:val="0"/>
                <w:color w:val="000000"/>
                <w:sz w:val="22"/>
                <w:szCs w:val="22"/>
              </w:rPr>
              <w:t>90/10</w:t>
            </w:r>
          </w:p>
        </w:tc>
      </w:tr>
      <w:tr w:rsidR="00A8726A" w:rsidRPr="004F3B35" w14:paraId="2B057055" w14:textId="77777777" w:rsidTr="00D46BF6">
        <w:trPr>
          <w:trHeight w:val="247"/>
        </w:trPr>
        <w:tc>
          <w:tcPr>
            <w:tcW w:w="1456" w:type="dxa"/>
            <w:tcBorders>
              <w:left w:val="single" w:sz="6" w:space="0" w:color="auto"/>
              <w:right w:val="single" w:sz="6" w:space="0" w:color="auto"/>
            </w:tcBorders>
            <w:shd w:val="clear" w:color="auto" w:fill="DAEEF3" w:themeFill="accent5" w:themeFillTint="33"/>
          </w:tcPr>
          <w:p w14:paraId="5E1D1DED" w14:textId="51B8ADD3" w:rsidR="00A8726A" w:rsidRPr="004F3B35" w:rsidRDefault="005171A4" w:rsidP="006D6298">
            <w:pPr>
              <w:rPr>
                <w:rFonts w:ascii="Arial" w:hAnsi="Arial" w:cs="Arial"/>
                <w:snapToGrid w:val="0"/>
                <w:color w:val="000000"/>
                <w:sz w:val="22"/>
                <w:szCs w:val="22"/>
              </w:rPr>
            </w:pPr>
            <w:r>
              <w:rPr>
                <w:rFonts w:ascii="Arial" w:hAnsi="Arial" w:cs="Arial"/>
                <w:snapToGrid w:val="0"/>
                <w:color w:val="000000"/>
                <w:sz w:val="22"/>
                <w:szCs w:val="22"/>
              </w:rPr>
              <w:t>Efni (Course)</w:t>
            </w:r>
          </w:p>
        </w:tc>
        <w:tc>
          <w:tcPr>
            <w:tcW w:w="992" w:type="dxa"/>
            <w:tcBorders>
              <w:left w:val="single" w:sz="6" w:space="0" w:color="auto"/>
              <w:right w:val="single" w:sz="6" w:space="0" w:color="auto"/>
            </w:tcBorders>
            <w:shd w:val="clear" w:color="auto" w:fill="FDE9D9" w:themeFill="accent6" w:themeFillTint="33"/>
          </w:tcPr>
          <w:p w14:paraId="1E11F746" w14:textId="77777777" w:rsidR="00A8726A" w:rsidRPr="004F3B35" w:rsidRDefault="007022B7" w:rsidP="007022B7">
            <w:pPr>
              <w:jc w:val="center"/>
              <w:rPr>
                <w:rFonts w:ascii="Arial" w:hAnsi="Arial" w:cs="Arial"/>
                <w:snapToGrid w:val="0"/>
                <w:color w:val="000000"/>
                <w:sz w:val="22"/>
                <w:szCs w:val="22"/>
              </w:rPr>
            </w:pPr>
            <w:r w:rsidRPr="004F3B35">
              <w:rPr>
                <w:rFonts w:ascii="Arial" w:hAnsi="Arial" w:cs="Arial"/>
                <w:snapToGrid w:val="0"/>
                <w:color w:val="000000"/>
                <w:sz w:val="22"/>
                <w:szCs w:val="22"/>
              </w:rPr>
              <w:t>d ≥ 1</w:t>
            </w:r>
          </w:p>
        </w:tc>
        <w:tc>
          <w:tcPr>
            <w:tcW w:w="993" w:type="dxa"/>
            <w:tcBorders>
              <w:left w:val="single" w:sz="6" w:space="0" w:color="auto"/>
            </w:tcBorders>
            <w:shd w:val="clear" w:color="auto" w:fill="FDE9D9" w:themeFill="accent6" w:themeFillTint="33"/>
          </w:tcPr>
          <w:p w14:paraId="3247FAAB"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100</w:t>
            </w:r>
          </w:p>
        </w:tc>
        <w:tc>
          <w:tcPr>
            <w:tcW w:w="1134" w:type="dxa"/>
            <w:tcBorders>
              <w:left w:val="single" w:sz="6" w:space="0" w:color="auto"/>
              <w:right w:val="single" w:sz="6" w:space="0" w:color="auto"/>
            </w:tcBorders>
            <w:shd w:val="clear" w:color="auto" w:fill="FDE9D9" w:themeFill="accent6" w:themeFillTint="33"/>
          </w:tcPr>
          <w:p w14:paraId="0E683B7B"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98 til 100</w:t>
            </w:r>
          </w:p>
        </w:tc>
        <w:tc>
          <w:tcPr>
            <w:tcW w:w="1134" w:type="dxa"/>
            <w:shd w:val="clear" w:color="auto" w:fill="FDE9D9" w:themeFill="accent6" w:themeFillTint="33"/>
          </w:tcPr>
          <w:p w14:paraId="4FBE8A7D"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90 til 99</w:t>
            </w:r>
          </w:p>
        </w:tc>
        <w:tc>
          <w:tcPr>
            <w:tcW w:w="1134" w:type="dxa"/>
            <w:tcBorders>
              <w:left w:val="single" w:sz="6" w:space="0" w:color="auto"/>
              <w:right w:val="single" w:sz="6" w:space="0" w:color="auto"/>
            </w:tcBorders>
            <w:shd w:val="clear" w:color="auto" w:fill="FDE9D9" w:themeFill="accent6" w:themeFillTint="33"/>
          </w:tcPr>
          <w:p w14:paraId="5BD3CF13"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0 til 15</w:t>
            </w:r>
          </w:p>
        </w:tc>
        <w:tc>
          <w:tcPr>
            <w:tcW w:w="1134" w:type="dxa"/>
            <w:shd w:val="clear" w:color="auto" w:fill="FDE9D9" w:themeFill="accent6" w:themeFillTint="33"/>
          </w:tcPr>
          <w:p w14:paraId="67BBFACB"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0 til 5</w:t>
            </w:r>
          </w:p>
        </w:tc>
        <w:tc>
          <w:tcPr>
            <w:tcW w:w="1275" w:type="dxa"/>
            <w:tcBorders>
              <w:left w:val="single" w:sz="6" w:space="0" w:color="auto"/>
              <w:right w:val="single" w:sz="6" w:space="0" w:color="auto"/>
            </w:tcBorders>
            <w:shd w:val="clear" w:color="auto" w:fill="FDE9D9" w:themeFill="accent6" w:themeFillTint="33"/>
          </w:tcPr>
          <w:p w14:paraId="3191375B"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G</w:t>
            </w:r>
            <w:r w:rsidR="00172113" w:rsidRPr="004F3B35">
              <w:rPr>
                <w:rFonts w:ascii="Arial" w:hAnsi="Arial" w:cs="Arial"/>
                <w:snapToGrid w:val="0"/>
                <w:color w:val="000000"/>
                <w:sz w:val="22"/>
                <w:szCs w:val="22"/>
                <w:vertAlign w:val="subscript"/>
              </w:rPr>
              <w:t>C</w:t>
            </w:r>
            <w:r w:rsidRPr="004F3B35">
              <w:rPr>
                <w:rFonts w:ascii="Arial" w:hAnsi="Arial" w:cs="Arial"/>
                <w:snapToGrid w:val="0"/>
                <w:color w:val="000000"/>
                <w:sz w:val="22"/>
                <w:szCs w:val="22"/>
              </w:rPr>
              <w:t>90/15</w:t>
            </w:r>
          </w:p>
        </w:tc>
      </w:tr>
      <w:tr w:rsidR="00A8726A" w:rsidRPr="004F3B35" w14:paraId="12A4C3F8" w14:textId="77777777" w:rsidTr="00D46BF6">
        <w:trPr>
          <w:trHeight w:val="247"/>
        </w:trPr>
        <w:tc>
          <w:tcPr>
            <w:tcW w:w="1456" w:type="dxa"/>
            <w:tcBorders>
              <w:left w:val="single" w:sz="6" w:space="0" w:color="auto"/>
              <w:right w:val="single" w:sz="6" w:space="0" w:color="auto"/>
            </w:tcBorders>
            <w:shd w:val="clear" w:color="auto" w:fill="DAEEF3" w:themeFill="accent5" w:themeFillTint="33"/>
          </w:tcPr>
          <w:p w14:paraId="0AB3314B" w14:textId="77777777" w:rsidR="00A8726A" w:rsidRPr="004F3B35" w:rsidRDefault="00A8726A">
            <w:pPr>
              <w:jc w:val="right"/>
              <w:rPr>
                <w:rFonts w:ascii="Arial" w:hAnsi="Arial" w:cs="Arial"/>
                <w:snapToGrid w:val="0"/>
                <w:color w:val="000000"/>
                <w:sz w:val="22"/>
                <w:szCs w:val="22"/>
              </w:rPr>
            </w:pPr>
          </w:p>
        </w:tc>
        <w:tc>
          <w:tcPr>
            <w:tcW w:w="992" w:type="dxa"/>
            <w:tcBorders>
              <w:left w:val="single" w:sz="6" w:space="0" w:color="auto"/>
              <w:right w:val="single" w:sz="6" w:space="0" w:color="auto"/>
            </w:tcBorders>
            <w:shd w:val="clear" w:color="auto" w:fill="FDE9D9" w:themeFill="accent6" w:themeFillTint="33"/>
          </w:tcPr>
          <w:p w14:paraId="1776B781" w14:textId="77777777" w:rsidR="00A8726A" w:rsidRPr="004F3B35" w:rsidRDefault="00A8726A" w:rsidP="007022B7">
            <w:pPr>
              <w:jc w:val="center"/>
              <w:rPr>
                <w:rFonts w:ascii="Arial" w:hAnsi="Arial" w:cs="Arial"/>
                <w:snapToGrid w:val="0"/>
                <w:color w:val="000000"/>
                <w:sz w:val="22"/>
                <w:szCs w:val="22"/>
              </w:rPr>
            </w:pPr>
          </w:p>
        </w:tc>
        <w:tc>
          <w:tcPr>
            <w:tcW w:w="993" w:type="dxa"/>
            <w:tcBorders>
              <w:left w:val="single" w:sz="6" w:space="0" w:color="auto"/>
            </w:tcBorders>
            <w:shd w:val="clear" w:color="auto" w:fill="FDE9D9" w:themeFill="accent6" w:themeFillTint="33"/>
          </w:tcPr>
          <w:p w14:paraId="406A9E9D"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100</w:t>
            </w:r>
          </w:p>
        </w:tc>
        <w:tc>
          <w:tcPr>
            <w:tcW w:w="1134" w:type="dxa"/>
            <w:tcBorders>
              <w:left w:val="single" w:sz="6" w:space="0" w:color="auto"/>
              <w:right w:val="single" w:sz="6" w:space="0" w:color="auto"/>
            </w:tcBorders>
            <w:shd w:val="clear" w:color="auto" w:fill="FDE9D9" w:themeFill="accent6" w:themeFillTint="33"/>
          </w:tcPr>
          <w:p w14:paraId="5553C334"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98 til 100</w:t>
            </w:r>
          </w:p>
        </w:tc>
        <w:tc>
          <w:tcPr>
            <w:tcW w:w="1134" w:type="dxa"/>
            <w:shd w:val="clear" w:color="auto" w:fill="FDE9D9" w:themeFill="accent6" w:themeFillTint="33"/>
          </w:tcPr>
          <w:p w14:paraId="09747763"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85 til 99</w:t>
            </w:r>
            <w:r w:rsidR="004F3B35" w:rsidRPr="004F3B35">
              <w:rPr>
                <w:rFonts w:ascii="Arial" w:hAnsi="Arial" w:cs="Arial"/>
                <w:snapToGrid w:val="0"/>
                <w:color w:val="000000"/>
                <w:sz w:val="22"/>
                <w:szCs w:val="22"/>
                <w:vertAlign w:val="superscript"/>
              </w:rPr>
              <w:t>C</w:t>
            </w:r>
          </w:p>
        </w:tc>
        <w:tc>
          <w:tcPr>
            <w:tcW w:w="1134" w:type="dxa"/>
            <w:tcBorders>
              <w:left w:val="single" w:sz="6" w:space="0" w:color="auto"/>
              <w:right w:val="single" w:sz="6" w:space="0" w:color="auto"/>
            </w:tcBorders>
            <w:shd w:val="clear" w:color="auto" w:fill="FDE9D9" w:themeFill="accent6" w:themeFillTint="33"/>
          </w:tcPr>
          <w:p w14:paraId="5414CE1B"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0 til 15</w:t>
            </w:r>
          </w:p>
        </w:tc>
        <w:tc>
          <w:tcPr>
            <w:tcW w:w="1134" w:type="dxa"/>
            <w:shd w:val="clear" w:color="auto" w:fill="FDE9D9" w:themeFill="accent6" w:themeFillTint="33"/>
          </w:tcPr>
          <w:p w14:paraId="3D33C40A" w14:textId="77777777" w:rsidR="00A8726A" w:rsidRPr="004F3B35" w:rsidRDefault="00172113">
            <w:pPr>
              <w:jc w:val="center"/>
              <w:rPr>
                <w:rFonts w:ascii="Arial" w:hAnsi="Arial" w:cs="Arial"/>
                <w:snapToGrid w:val="0"/>
                <w:color w:val="000000"/>
                <w:sz w:val="22"/>
                <w:szCs w:val="22"/>
              </w:rPr>
            </w:pPr>
            <w:r w:rsidRPr="004F3B35">
              <w:rPr>
                <w:rFonts w:ascii="Arial" w:hAnsi="Arial" w:cs="Arial"/>
                <w:snapToGrid w:val="0"/>
                <w:color w:val="000000"/>
                <w:sz w:val="22"/>
                <w:szCs w:val="22"/>
              </w:rPr>
              <w:t>0 til 5</w:t>
            </w:r>
          </w:p>
        </w:tc>
        <w:tc>
          <w:tcPr>
            <w:tcW w:w="1275" w:type="dxa"/>
            <w:tcBorders>
              <w:left w:val="single" w:sz="6" w:space="0" w:color="auto"/>
              <w:right w:val="single" w:sz="6" w:space="0" w:color="auto"/>
            </w:tcBorders>
            <w:shd w:val="clear" w:color="auto" w:fill="FDE9D9" w:themeFill="accent6" w:themeFillTint="33"/>
          </w:tcPr>
          <w:p w14:paraId="05F4927F"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G</w:t>
            </w:r>
            <w:r w:rsidR="00172113" w:rsidRPr="004F3B35">
              <w:rPr>
                <w:rFonts w:ascii="Arial" w:hAnsi="Arial" w:cs="Arial"/>
                <w:snapToGrid w:val="0"/>
                <w:color w:val="000000"/>
                <w:sz w:val="22"/>
                <w:szCs w:val="22"/>
                <w:vertAlign w:val="subscript"/>
              </w:rPr>
              <w:t>C</w:t>
            </w:r>
            <w:r w:rsidRPr="004F3B35">
              <w:rPr>
                <w:rFonts w:ascii="Arial" w:hAnsi="Arial" w:cs="Arial"/>
                <w:snapToGrid w:val="0"/>
                <w:color w:val="000000"/>
                <w:sz w:val="22"/>
                <w:szCs w:val="22"/>
              </w:rPr>
              <w:t>85/15</w:t>
            </w:r>
          </w:p>
        </w:tc>
      </w:tr>
      <w:tr w:rsidR="00A8726A" w:rsidRPr="004F3B35" w14:paraId="10A9BDDA" w14:textId="77777777" w:rsidTr="00D46BF6">
        <w:trPr>
          <w:trHeight w:val="247"/>
        </w:trPr>
        <w:tc>
          <w:tcPr>
            <w:tcW w:w="1456" w:type="dxa"/>
            <w:tcBorders>
              <w:left w:val="single" w:sz="6" w:space="0" w:color="auto"/>
              <w:right w:val="single" w:sz="6" w:space="0" w:color="auto"/>
            </w:tcBorders>
            <w:shd w:val="clear" w:color="auto" w:fill="DAEEF3" w:themeFill="accent5" w:themeFillTint="33"/>
          </w:tcPr>
          <w:p w14:paraId="1B9AB919" w14:textId="77777777" w:rsidR="00A8726A" w:rsidRPr="004F3B35" w:rsidRDefault="00A8726A">
            <w:pPr>
              <w:jc w:val="right"/>
              <w:rPr>
                <w:rFonts w:ascii="Arial" w:hAnsi="Arial" w:cs="Arial"/>
                <w:snapToGrid w:val="0"/>
                <w:color w:val="000000"/>
                <w:sz w:val="22"/>
                <w:szCs w:val="22"/>
              </w:rPr>
            </w:pPr>
          </w:p>
        </w:tc>
        <w:tc>
          <w:tcPr>
            <w:tcW w:w="992" w:type="dxa"/>
            <w:tcBorders>
              <w:left w:val="single" w:sz="6" w:space="0" w:color="auto"/>
              <w:right w:val="single" w:sz="6" w:space="0" w:color="auto"/>
            </w:tcBorders>
            <w:shd w:val="clear" w:color="auto" w:fill="FDE9D9" w:themeFill="accent6" w:themeFillTint="33"/>
          </w:tcPr>
          <w:p w14:paraId="19BBBD11" w14:textId="77777777" w:rsidR="00A8726A" w:rsidRPr="004F3B35" w:rsidRDefault="00A8726A" w:rsidP="007022B7">
            <w:pPr>
              <w:jc w:val="center"/>
              <w:rPr>
                <w:rFonts w:ascii="Arial" w:hAnsi="Arial" w:cs="Arial"/>
                <w:snapToGrid w:val="0"/>
                <w:color w:val="000000"/>
                <w:sz w:val="22"/>
                <w:szCs w:val="22"/>
              </w:rPr>
            </w:pPr>
          </w:p>
        </w:tc>
        <w:tc>
          <w:tcPr>
            <w:tcW w:w="993" w:type="dxa"/>
            <w:tcBorders>
              <w:left w:val="single" w:sz="6" w:space="0" w:color="auto"/>
            </w:tcBorders>
            <w:shd w:val="clear" w:color="auto" w:fill="FDE9D9" w:themeFill="accent6" w:themeFillTint="33"/>
          </w:tcPr>
          <w:p w14:paraId="5250E581"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100</w:t>
            </w:r>
          </w:p>
        </w:tc>
        <w:tc>
          <w:tcPr>
            <w:tcW w:w="1134" w:type="dxa"/>
            <w:tcBorders>
              <w:left w:val="single" w:sz="6" w:space="0" w:color="auto"/>
              <w:right w:val="single" w:sz="6" w:space="0" w:color="auto"/>
            </w:tcBorders>
            <w:shd w:val="clear" w:color="auto" w:fill="FDE9D9" w:themeFill="accent6" w:themeFillTint="33"/>
          </w:tcPr>
          <w:p w14:paraId="048165C7"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98 til 100</w:t>
            </w:r>
          </w:p>
        </w:tc>
        <w:tc>
          <w:tcPr>
            <w:tcW w:w="1134" w:type="dxa"/>
            <w:shd w:val="clear" w:color="auto" w:fill="FDE9D9" w:themeFill="accent6" w:themeFillTint="33"/>
          </w:tcPr>
          <w:p w14:paraId="732A2396" w14:textId="77777777" w:rsidR="00A8726A" w:rsidRPr="004F3B35" w:rsidRDefault="00172113">
            <w:pPr>
              <w:jc w:val="center"/>
              <w:rPr>
                <w:rFonts w:ascii="Arial" w:hAnsi="Arial" w:cs="Arial"/>
                <w:snapToGrid w:val="0"/>
                <w:color w:val="000000"/>
                <w:sz w:val="22"/>
                <w:szCs w:val="22"/>
              </w:rPr>
            </w:pPr>
            <w:r w:rsidRPr="004F3B35">
              <w:rPr>
                <w:rFonts w:ascii="Arial" w:hAnsi="Arial" w:cs="Arial"/>
                <w:snapToGrid w:val="0"/>
                <w:color w:val="000000"/>
                <w:sz w:val="22"/>
                <w:szCs w:val="22"/>
              </w:rPr>
              <w:t>80</w:t>
            </w:r>
            <w:r w:rsidR="00A8726A" w:rsidRPr="004F3B35">
              <w:rPr>
                <w:rFonts w:ascii="Arial" w:hAnsi="Arial" w:cs="Arial"/>
                <w:snapToGrid w:val="0"/>
                <w:color w:val="000000"/>
                <w:sz w:val="22"/>
                <w:szCs w:val="22"/>
              </w:rPr>
              <w:t xml:space="preserve"> til 99</w:t>
            </w:r>
          </w:p>
        </w:tc>
        <w:tc>
          <w:tcPr>
            <w:tcW w:w="1134" w:type="dxa"/>
            <w:tcBorders>
              <w:left w:val="single" w:sz="6" w:space="0" w:color="auto"/>
              <w:right w:val="single" w:sz="6" w:space="0" w:color="auto"/>
            </w:tcBorders>
            <w:shd w:val="clear" w:color="auto" w:fill="FDE9D9" w:themeFill="accent6" w:themeFillTint="33"/>
          </w:tcPr>
          <w:p w14:paraId="32A41659" w14:textId="77777777" w:rsidR="00A8726A" w:rsidRPr="004F3B35" w:rsidRDefault="00172113">
            <w:pPr>
              <w:jc w:val="center"/>
              <w:rPr>
                <w:rFonts w:ascii="Arial" w:hAnsi="Arial" w:cs="Arial"/>
                <w:snapToGrid w:val="0"/>
                <w:color w:val="000000"/>
                <w:sz w:val="22"/>
                <w:szCs w:val="22"/>
              </w:rPr>
            </w:pPr>
            <w:r w:rsidRPr="004F3B35">
              <w:rPr>
                <w:rFonts w:ascii="Arial" w:hAnsi="Arial" w:cs="Arial"/>
                <w:snapToGrid w:val="0"/>
                <w:color w:val="000000"/>
                <w:sz w:val="22"/>
                <w:szCs w:val="22"/>
              </w:rPr>
              <w:t>0 til 20</w:t>
            </w:r>
          </w:p>
        </w:tc>
        <w:tc>
          <w:tcPr>
            <w:tcW w:w="1134" w:type="dxa"/>
            <w:shd w:val="clear" w:color="auto" w:fill="FDE9D9" w:themeFill="accent6" w:themeFillTint="33"/>
          </w:tcPr>
          <w:p w14:paraId="5BFA1AB0"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0 til 5</w:t>
            </w:r>
          </w:p>
        </w:tc>
        <w:tc>
          <w:tcPr>
            <w:tcW w:w="1275" w:type="dxa"/>
            <w:tcBorders>
              <w:left w:val="single" w:sz="6" w:space="0" w:color="auto"/>
              <w:right w:val="single" w:sz="6" w:space="0" w:color="auto"/>
            </w:tcBorders>
            <w:shd w:val="clear" w:color="auto" w:fill="FDE9D9" w:themeFill="accent6" w:themeFillTint="33"/>
          </w:tcPr>
          <w:p w14:paraId="24DEC148" w14:textId="77777777" w:rsidR="00A8726A" w:rsidRPr="004F3B35" w:rsidRDefault="00172113">
            <w:pPr>
              <w:jc w:val="center"/>
              <w:rPr>
                <w:rFonts w:ascii="Arial" w:hAnsi="Arial" w:cs="Arial"/>
                <w:snapToGrid w:val="0"/>
                <w:color w:val="000000"/>
                <w:sz w:val="22"/>
                <w:szCs w:val="22"/>
              </w:rPr>
            </w:pPr>
            <w:r w:rsidRPr="004F3B35">
              <w:rPr>
                <w:rFonts w:ascii="Arial" w:hAnsi="Arial" w:cs="Arial"/>
                <w:snapToGrid w:val="0"/>
                <w:color w:val="000000"/>
                <w:sz w:val="22"/>
                <w:szCs w:val="22"/>
              </w:rPr>
              <w:t>G</w:t>
            </w:r>
            <w:r w:rsidRPr="004F3B35">
              <w:rPr>
                <w:rFonts w:ascii="Arial" w:hAnsi="Arial" w:cs="Arial"/>
                <w:snapToGrid w:val="0"/>
                <w:color w:val="000000"/>
                <w:sz w:val="22"/>
                <w:szCs w:val="22"/>
                <w:vertAlign w:val="subscript"/>
              </w:rPr>
              <w:t>C</w:t>
            </w:r>
            <w:r w:rsidR="008B0E11">
              <w:rPr>
                <w:rFonts w:ascii="Arial" w:hAnsi="Arial" w:cs="Arial"/>
                <w:snapToGrid w:val="0"/>
                <w:color w:val="000000"/>
                <w:sz w:val="22"/>
                <w:szCs w:val="22"/>
              </w:rPr>
              <w:t>80</w:t>
            </w:r>
            <w:r w:rsidRPr="004F3B35">
              <w:rPr>
                <w:rFonts w:ascii="Arial" w:hAnsi="Arial" w:cs="Arial"/>
                <w:snapToGrid w:val="0"/>
                <w:color w:val="000000"/>
                <w:sz w:val="22"/>
                <w:szCs w:val="22"/>
              </w:rPr>
              <w:t>/20</w:t>
            </w:r>
          </w:p>
        </w:tc>
      </w:tr>
      <w:tr w:rsidR="00A8726A" w:rsidRPr="004F3B35" w14:paraId="1FD58526" w14:textId="77777777" w:rsidTr="00D46BF6">
        <w:trPr>
          <w:trHeight w:val="247"/>
        </w:trPr>
        <w:tc>
          <w:tcPr>
            <w:tcW w:w="1456" w:type="dxa"/>
            <w:tcBorders>
              <w:top w:val="single" w:sz="6" w:space="0" w:color="auto"/>
              <w:left w:val="single" w:sz="6" w:space="0" w:color="auto"/>
              <w:right w:val="single" w:sz="6" w:space="0" w:color="auto"/>
            </w:tcBorders>
            <w:shd w:val="clear" w:color="auto" w:fill="DAEEF3" w:themeFill="accent5" w:themeFillTint="33"/>
          </w:tcPr>
          <w:p w14:paraId="7E6B700B" w14:textId="30EFEE5C" w:rsidR="00A8726A" w:rsidRPr="004F3B35" w:rsidRDefault="009B0C28" w:rsidP="006D6298">
            <w:pPr>
              <w:rPr>
                <w:rFonts w:ascii="Arial" w:hAnsi="Arial" w:cs="Arial"/>
                <w:snapToGrid w:val="0"/>
                <w:color w:val="000000"/>
                <w:sz w:val="22"/>
                <w:szCs w:val="22"/>
              </w:rPr>
            </w:pPr>
            <w:r>
              <w:rPr>
                <w:rFonts w:ascii="Arial" w:hAnsi="Arial" w:cs="Arial"/>
                <w:snapToGrid w:val="0"/>
                <w:color w:val="000000"/>
                <w:sz w:val="22"/>
                <w:szCs w:val="22"/>
              </w:rPr>
              <w:t>Óflokkað efni</w:t>
            </w:r>
            <w:r w:rsidR="00AB5E57">
              <w:rPr>
                <w:rFonts w:ascii="Arial" w:hAnsi="Arial" w:cs="Arial"/>
                <w:snapToGrid w:val="0"/>
                <w:color w:val="000000"/>
                <w:sz w:val="22"/>
                <w:szCs w:val="22"/>
              </w:rPr>
              <w:t xml:space="preserve"> </w:t>
            </w:r>
          </w:p>
        </w:tc>
        <w:tc>
          <w:tcPr>
            <w:tcW w:w="992" w:type="dxa"/>
            <w:tcBorders>
              <w:top w:val="single" w:sz="6" w:space="0" w:color="auto"/>
              <w:right w:val="single" w:sz="6" w:space="0" w:color="auto"/>
            </w:tcBorders>
            <w:shd w:val="clear" w:color="auto" w:fill="FDE9D9" w:themeFill="accent6" w:themeFillTint="33"/>
          </w:tcPr>
          <w:p w14:paraId="7AB643B0" w14:textId="77777777" w:rsidR="00A8726A" w:rsidRPr="004F3B35" w:rsidRDefault="00A8726A" w:rsidP="00FE1EA5">
            <w:pPr>
              <w:jc w:val="center"/>
              <w:rPr>
                <w:rFonts w:ascii="Arial" w:hAnsi="Arial" w:cs="Arial"/>
                <w:snapToGrid w:val="0"/>
                <w:color w:val="000000"/>
                <w:sz w:val="22"/>
                <w:szCs w:val="22"/>
              </w:rPr>
            </w:pPr>
            <w:r w:rsidRPr="004F3B35">
              <w:rPr>
                <w:rFonts w:ascii="Arial" w:hAnsi="Arial" w:cs="Arial"/>
                <w:snapToGrid w:val="0"/>
                <w:color w:val="000000"/>
                <w:sz w:val="22"/>
                <w:szCs w:val="22"/>
              </w:rPr>
              <w:t xml:space="preserve">D </w:t>
            </w:r>
            <w:r w:rsidR="00FE1EA5" w:rsidRPr="004F3B35">
              <w:rPr>
                <w:rFonts w:ascii="Arial" w:hAnsi="Arial" w:cs="Arial"/>
                <w:snapToGrid w:val="0"/>
                <w:color w:val="000000"/>
                <w:sz w:val="22"/>
                <w:szCs w:val="22"/>
              </w:rPr>
              <w:t>&gt; 4</w:t>
            </w:r>
          </w:p>
        </w:tc>
        <w:tc>
          <w:tcPr>
            <w:tcW w:w="993" w:type="dxa"/>
            <w:tcBorders>
              <w:top w:val="single" w:sz="6" w:space="0" w:color="auto"/>
              <w:left w:val="single" w:sz="6" w:space="0" w:color="auto"/>
              <w:right w:val="single" w:sz="6" w:space="0" w:color="auto"/>
            </w:tcBorders>
            <w:shd w:val="clear" w:color="auto" w:fill="FDE9D9" w:themeFill="accent6" w:themeFillTint="33"/>
          </w:tcPr>
          <w:p w14:paraId="3D4FC288"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100</w:t>
            </w:r>
          </w:p>
        </w:tc>
        <w:tc>
          <w:tcPr>
            <w:tcW w:w="1134" w:type="dxa"/>
            <w:tcBorders>
              <w:top w:val="single" w:sz="6" w:space="0" w:color="auto"/>
            </w:tcBorders>
            <w:shd w:val="clear" w:color="auto" w:fill="FDE9D9" w:themeFill="accent6" w:themeFillTint="33"/>
          </w:tcPr>
          <w:p w14:paraId="37E69E2B"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98 til 100</w:t>
            </w:r>
          </w:p>
        </w:tc>
        <w:tc>
          <w:tcPr>
            <w:tcW w:w="1134" w:type="dxa"/>
            <w:tcBorders>
              <w:top w:val="single" w:sz="6" w:space="0" w:color="auto"/>
              <w:left w:val="single" w:sz="6" w:space="0" w:color="auto"/>
              <w:right w:val="single" w:sz="6" w:space="0" w:color="auto"/>
            </w:tcBorders>
            <w:shd w:val="clear" w:color="auto" w:fill="FDE9D9" w:themeFill="accent6" w:themeFillTint="33"/>
          </w:tcPr>
          <w:p w14:paraId="254EAB65"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90 til 99</w:t>
            </w:r>
          </w:p>
        </w:tc>
        <w:tc>
          <w:tcPr>
            <w:tcW w:w="1134" w:type="dxa"/>
            <w:tcBorders>
              <w:top w:val="single" w:sz="6" w:space="0" w:color="auto"/>
            </w:tcBorders>
            <w:shd w:val="clear" w:color="auto" w:fill="FDE9D9" w:themeFill="accent6" w:themeFillTint="33"/>
          </w:tcPr>
          <w:p w14:paraId="5611F803" w14:textId="77777777" w:rsidR="00A8726A" w:rsidRPr="004F3B35" w:rsidRDefault="00FE1EA5">
            <w:pPr>
              <w:jc w:val="center"/>
              <w:rPr>
                <w:rFonts w:ascii="Arial" w:hAnsi="Arial" w:cs="Arial"/>
                <w:snapToGrid w:val="0"/>
                <w:color w:val="000000"/>
                <w:sz w:val="22"/>
                <w:szCs w:val="22"/>
              </w:rPr>
            </w:pPr>
            <w:r w:rsidRPr="004F3B35">
              <w:rPr>
                <w:rFonts w:ascii="Arial" w:hAnsi="Arial" w:cs="Arial"/>
                <w:snapToGrid w:val="0"/>
                <w:color w:val="000000"/>
                <w:sz w:val="22"/>
                <w:szCs w:val="22"/>
              </w:rPr>
              <w:t>-</w:t>
            </w:r>
          </w:p>
        </w:tc>
        <w:tc>
          <w:tcPr>
            <w:tcW w:w="1134" w:type="dxa"/>
            <w:tcBorders>
              <w:top w:val="single" w:sz="6" w:space="0" w:color="auto"/>
              <w:left w:val="single" w:sz="6" w:space="0" w:color="auto"/>
              <w:right w:val="single" w:sz="6" w:space="0" w:color="auto"/>
            </w:tcBorders>
            <w:shd w:val="clear" w:color="auto" w:fill="FDE9D9" w:themeFill="accent6" w:themeFillTint="33"/>
          </w:tcPr>
          <w:p w14:paraId="0A647F62" w14:textId="77777777" w:rsidR="00A8726A" w:rsidRPr="004F3B35" w:rsidRDefault="00FE1EA5">
            <w:pPr>
              <w:jc w:val="center"/>
              <w:rPr>
                <w:rFonts w:ascii="Arial" w:hAnsi="Arial" w:cs="Arial"/>
                <w:snapToGrid w:val="0"/>
                <w:color w:val="000000"/>
                <w:sz w:val="22"/>
                <w:szCs w:val="22"/>
              </w:rPr>
            </w:pPr>
            <w:r w:rsidRPr="004F3B35">
              <w:rPr>
                <w:rFonts w:ascii="Arial" w:hAnsi="Arial" w:cs="Arial"/>
                <w:snapToGrid w:val="0"/>
                <w:color w:val="000000"/>
                <w:sz w:val="22"/>
                <w:szCs w:val="22"/>
              </w:rPr>
              <w:t>-</w:t>
            </w:r>
          </w:p>
        </w:tc>
        <w:tc>
          <w:tcPr>
            <w:tcW w:w="1275" w:type="dxa"/>
            <w:tcBorders>
              <w:top w:val="single" w:sz="6" w:space="0" w:color="auto"/>
              <w:right w:val="single" w:sz="6" w:space="0" w:color="auto"/>
            </w:tcBorders>
            <w:shd w:val="clear" w:color="auto" w:fill="FDE9D9" w:themeFill="accent6" w:themeFillTint="33"/>
          </w:tcPr>
          <w:p w14:paraId="4C77827B" w14:textId="77777777" w:rsidR="00A8726A" w:rsidRPr="004F3B35" w:rsidRDefault="00FE1EA5" w:rsidP="00FE1EA5">
            <w:pPr>
              <w:jc w:val="center"/>
              <w:rPr>
                <w:rFonts w:ascii="Arial" w:hAnsi="Arial" w:cs="Arial"/>
                <w:snapToGrid w:val="0"/>
                <w:color w:val="000000"/>
                <w:sz w:val="22"/>
                <w:szCs w:val="22"/>
              </w:rPr>
            </w:pPr>
            <w:r w:rsidRPr="004F3B35">
              <w:rPr>
                <w:rFonts w:ascii="Arial" w:hAnsi="Arial" w:cs="Arial"/>
                <w:snapToGrid w:val="0"/>
                <w:color w:val="000000"/>
                <w:sz w:val="22"/>
                <w:szCs w:val="22"/>
              </w:rPr>
              <w:t>G</w:t>
            </w:r>
            <w:r w:rsidRPr="004F3B35">
              <w:rPr>
                <w:rFonts w:ascii="Arial" w:hAnsi="Arial" w:cs="Arial"/>
                <w:snapToGrid w:val="0"/>
                <w:color w:val="000000"/>
                <w:sz w:val="22"/>
                <w:szCs w:val="22"/>
                <w:vertAlign w:val="subscript"/>
              </w:rPr>
              <w:t>A</w:t>
            </w:r>
            <w:r w:rsidRPr="004F3B35">
              <w:rPr>
                <w:rFonts w:ascii="Arial" w:hAnsi="Arial" w:cs="Arial"/>
                <w:snapToGrid w:val="0"/>
                <w:color w:val="000000"/>
                <w:sz w:val="22"/>
                <w:szCs w:val="22"/>
              </w:rPr>
              <w:t>90</w:t>
            </w:r>
          </w:p>
        </w:tc>
      </w:tr>
      <w:tr w:rsidR="00A8726A" w:rsidRPr="004F3B35" w14:paraId="3C2D94BF" w14:textId="77777777" w:rsidTr="00D46BF6">
        <w:trPr>
          <w:trHeight w:val="247"/>
        </w:trPr>
        <w:tc>
          <w:tcPr>
            <w:tcW w:w="1456" w:type="dxa"/>
            <w:tcBorders>
              <w:left w:val="single" w:sz="6" w:space="0" w:color="auto"/>
              <w:right w:val="single" w:sz="6" w:space="0" w:color="auto"/>
            </w:tcBorders>
            <w:shd w:val="clear" w:color="auto" w:fill="DAEEF3" w:themeFill="accent5" w:themeFillTint="33"/>
          </w:tcPr>
          <w:p w14:paraId="5D61BBD3" w14:textId="6D6AB007" w:rsidR="00A8726A" w:rsidRPr="004F3B35" w:rsidRDefault="006D6298" w:rsidP="006D6298">
            <w:pPr>
              <w:rPr>
                <w:rFonts w:ascii="Arial" w:hAnsi="Arial" w:cs="Arial"/>
                <w:snapToGrid w:val="0"/>
                <w:color w:val="000000"/>
                <w:sz w:val="22"/>
                <w:szCs w:val="22"/>
              </w:rPr>
            </w:pPr>
            <w:r>
              <w:rPr>
                <w:rFonts w:ascii="Arial" w:hAnsi="Arial" w:cs="Arial"/>
                <w:snapToGrid w:val="0"/>
                <w:color w:val="000000"/>
                <w:sz w:val="22"/>
                <w:szCs w:val="22"/>
              </w:rPr>
              <w:t>(All-in)</w:t>
            </w:r>
          </w:p>
        </w:tc>
        <w:tc>
          <w:tcPr>
            <w:tcW w:w="992" w:type="dxa"/>
            <w:tcBorders>
              <w:right w:val="single" w:sz="6" w:space="0" w:color="auto"/>
            </w:tcBorders>
            <w:shd w:val="clear" w:color="auto" w:fill="FDE9D9" w:themeFill="accent6" w:themeFillTint="33"/>
          </w:tcPr>
          <w:p w14:paraId="096F7043" w14:textId="77777777" w:rsidR="00A8726A" w:rsidRPr="004F3B35" w:rsidRDefault="00A8726A" w:rsidP="00FE1EA5">
            <w:pPr>
              <w:jc w:val="center"/>
              <w:rPr>
                <w:rFonts w:ascii="Arial" w:hAnsi="Arial" w:cs="Arial"/>
                <w:snapToGrid w:val="0"/>
                <w:color w:val="000000"/>
                <w:sz w:val="22"/>
                <w:szCs w:val="22"/>
              </w:rPr>
            </w:pPr>
            <w:r w:rsidRPr="004F3B35">
              <w:rPr>
                <w:rFonts w:ascii="Arial" w:hAnsi="Arial" w:cs="Arial"/>
                <w:snapToGrid w:val="0"/>
                <w:color w:val="000000"/>
                <w:sz w:val="22"/>
                <w:szCs w:val="22"/>
              </w:rPr>
              <w:t>d = 0</w:t>
            </w:r>
          </w:p>
        </w:tc>
        <w:tc>
          <w:tcPr>
            <w:tcW w:w="993" w:type="dxa"/>
            <w:tcBorders>
              <w:left w:val="single" w:sz="6" w:space="0" w:color="auto"/>
              <w:right w:val="single" w:sz="6" w:space="0" w:color="auto"/>
            </w:tcBorders>
            <w:shd w:val="clear" w:color="auto" w:fill="FDE9D9" w:themeFill="accent6" w:themeFillTint="33"/>
          </w:tcPr>
          <w:p w14:paraId="13326F51"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100</w:t>
            </w:r>
          </w:p>
        </w:tc>
        <w:tc>
          <w:tcPr>
            <w:tcW w:w="1134" w:type="dxa"/>
            <w:shd w:val="clear" w:color="auto" w:fill="FDE9D9" w:themeFill="accent6" w:themeFillTint="33"/>
          </w:tcPr>
          <w:p w14:paraId="10E53A04"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98 til 100</w:t>
            </w:r>
          </w:p>
        </w:tc>
        <w:tc>
          <w:tcPr>
            <w:tcW w:w="1134" w:type="dxa"/>
            <w:tcBorders>
              <w:left w:val="single" w:sz="6" w:space="0" w:color="auto"/>
              <w:right w:val="single" w:sz="6" w:space="0" w:color="auto"/>
            </w:tcBorders>
            <w:shd w:val="clear" w:color="auto" w:fill="FDE9D9" w:themeFill="accent6" w:themeFillTint="33"/>
          </w:tcPr>
          <w:p w14:paraId="44EF58C9" w14:textId="77777777" w:rsidR="00A8726A" w:rsidRPr="004F3B35" w:rsidRDefault="00A8726A">
            <w:pPr>
              <w:jc w:val="center"/>
              <w:rPr>
                <w:rFonts w:ascii="Arial" w:hAnsi="Arial" w:cs="Arial"/>
                <w:snapToGrid w:val="0"/>
                <w:color w:val="000000"/>
                <w:sz w:val="22"/>
                <w:szCs w:val="22"/>
              </w:rPr>
            </w:pPr>
            <w:r w:rsidRPr="004F3B35">
              <w:rPr>
                <w:rFonts w:ascii="Arial" w:hAnsi="Arial" w:cs="Arial"/>
                <w:snapToGrid w:val="0"/>
                <w:color w:val="000000"/>
                <w:sz w:val="22"/>
                <w:szCs w:val="22"/>
              </w:rPr>
              <w:t>85 til 99</w:t>
            </w:r>
          </w:p>
        </w:tc>
        <w:tc>
          <w:tcPr>
            <w:tcW w:w="1134" w:type="dxa"/>
            <w:shd w:val="clear" w:color="auto" w:fill="FDE9D9" w:themeFill="accent6" w:themeFillTint="33"/>
          </w:tcPr>
          <w:p w14:paraId="2D2DECBD" w14:textId="77777777" w:rsidR="00A8726A" w:rsidRPr="004F3B35" w:rsidRDefault="00FE1EA5">
            <w:pPr>
              <w:jc w:val="center"/>
              <w:rPr>
                <w:rFonts w:ascii="Arial" w:hAnsi="Arial" w:cs="Arial"/>
                <w:snapToGrid w:val="0"/>
                <w:color w:val="000000"/>
                <w:sz w:val="22"/>
                <w:szCs w:val="22"/>
              </w:rPr>
            </w:pPr>
            <w:r w:rsidRPr="004F3B35">
              <w:rPr>
                <w:rFonts w:ascii="Arial" w:hAnsi="Arial" w:cs="Arial"/>
                <w:snapToGrid w:val="0"/>
                <w:color w:val="000000"/>
                <w:sz w:val="22"/>
                <w:szCs w:val="22"/>
              </w:rPr>
              <w:t>-</w:t>
            </w:r>
          </w:p>
        </w:tc>
        <w:tc>
          <w:tcPr>
            <w:tcW w:w="1134" w:type="dxa"/>
            <w:tcBorders>
              <w:left w:val="single" w:sz="6" w:space="0" w:color="auto"/>
              <w:right w:val="single" w:sz="6" w:space="0" w:color="auto"/>
            </w:tcBorders>
            <w:shd w:val="clear" w:color="auto" w:fill="FDE9D9" w:themeFill="accent6" w:themeFillTint="33"/>
          </w:tcPr>
          <w:p w14:paraId="55DFE0B5" w14:textId="77777777" w:rsidR="00A8726A" w:rsidRPr="004F3B35" w:rsidRDefault="00FE1EA5">
            <w:pPr>
              <w:jc w:val="center"/>
              <w:rPr>
                <w:rFonts w:ascii="Arial" w:hAnsi="Arial" w:cs="Arial"/>
                <w:snapToGrid w:val="0"/>
                <w:color w:val="000000"/>
                <w:sz w:val="22"/>
                <w:szCs w:val="22"/>
              </w:rPr>
            </w:pPr>
            <w:r w:rsidRPr="004F3B35">
              <w:rPr>
                <w:rFonts w:ascii="Arial" w:hAnsi="Arial" w:cs="Arial"/>
                <w:snapToGrid w:val="0"/>
                <w:color w:val="000000"/>
                <w:sz w:val="22"/>
                <w:szCs w:val="22"/>
              </w:rPr>
              <w:t>-</w:t>
            </w:r>
          </w:p>
        </w:tc>
        <w:tc>
          <w:tcPr>
            <w:tcW w:w="1275" w:type="dxa"/>
            <w:tcBorders>
              <w:right w:val="single" w:sz="6" w:space="0" w:color="auto"/>
            </w:tcBorders>
            <w:shd w:val="clear" w:color="auto" w:fill="FDE9D9" w:themeFill="accent6" w:themeFillTint="33"/>
          </w:tcPr>
          <w:p w14:paraId="08BC55A0" w14:textId="77777777" w:rsidR="00A8726A" w:rsidRPr="004F3B35" w:rsidRDefault="00FE1EA5">
            <w:pPr>
              <w:jc w:val="center"/>
              <w:rPr>
                <w:rFonts w:ascii="Arial" w:hAnsi="Arial" w:cs="Arial"/>
                <w:snapToGrid w:val="0"/>
                <w:color w:val="000000"/>
                <w:sz w:val="22"/>
                <w:szCs w:val="22"/>
              </w:rPr>
            </w:pPr>
            <w:r w:rsidRPr="004F3B35">
              <w:rPr>
                <w:rFonts w:ascii="Arial" w:hAnsi="Arial" w:cs="Arial"/>
                <w:snapToGrid w:val="0"/>
                <w:color w:val="000000"/>
                <w:sz w:val="22"/>
                <w:szCs w:val="22"/>
              </w:rPr>
              <w:t>G</w:t>
            </w:r>
            <w:r w:rsidRPr="004F3B35">
              <w:rPr>
                <w:rFonts w:ascii="Arial" w:hAnsi="Arial" w:cs="Arial"/>
                <w:snapToGrid w:val="0"/>
                <w:color w:val="000000"/>
                <w:sz w:val="22"/>
                <w:szCs w:val="22"/>
                <w:vertAlign w:val="subscript"/>
              </w:rPr>
              <w:t>A</w:t>
            </w:r>
            <w:r w:rsidRPr="004F3B35">
              <w:rPr>
                <w:rFonts w:ascii="Arial" w:hAnsi="Arial" w:cs="Arial"/>
                <w:snapToGrid w:val="0"/>
                <w:color w:val="000000"/>
                <w:sz w:val="22"/>
                <w:szCs w:val="22"/>
              </w:rPr>
              <w:t>85</w:t>
            </w:r>
          </w:p>
        </w:tc>
      </w:tr>
      <w:tr w:rsidR="00FE1EA5" w:rsidRPr="004F3B35" w14:paraId="085A6AAC" w14:textId="77777777" w:rsidTr="00D46BF6">
        <w:trPr>
          <w:trHeight w:val="247"/>
        </w:trPr>
        <w:tc>
          <w:tcPr>
            <w:tcW w:w="1456" w:type="dxa"/>
            <w:tcBorders>
              <w:left w:val="single" w:sz="6" w:space="0" w:color="auto"/>
              <w:right w:val="single" w:sz="6" w:space="0" w:color="auto"/>
            </w:tcBorders>
            <w:shd w:val="clear" w:color="auto" w:fill="DAEEF3" w:themeFill="accent5" w:themeFillTint="33"/>
          </w:tcPr>
          <w:p w14:paraId="3BB03103" w14:textId="77777777" w:rsidR="00FE1EA5" w:rsidRPr="004F3B35" w:rsidRDefault="00FE1EA5">
            <w:pPr>
              <w:jc w:val="right"/>
              <w:rPr>
                <w:rFonts w:ascii="Arial" w:hAnsi="Arial" w:cs="Arial"/>
                <w:snapToGrid w:val="0"/>
                <w:color w:val="000000"/>
                <w:sz w:val="22"/>
                <w:szCs w:val="22"/>
              </w:rPr>
            </w:pPr>
          </w:p>
        </w:tc>
        <w:tc>
          <w:tcPr>
            <w:tcW w:w="992" w:type="dxa"/>
            <w:tcBorders>
              <w:right w:val="single" w:sz="6" w:space="0" w:color="auto"/>
            </w:tcBorders>
            <w:shd w:val="clear" w:color="auto" w:fill="FDE9D9" w:themeFill="accent6" w:themeFillTint="33"/>
          </w:tcPr>
          <w:p w14:paraId="715520D2" w14:textId="77777777" w:rsidR="00FE1EA5" w:rsidRPr="004F3B35" w:rsidRDefault="00FE1EA5" w:rsidP="00FE1EA5">
            <w:pPr>
              <w:jc w:val="center"/>
              <w:rPr>
                <w:rFonts w:ascii="Arial" w:hAnsi="Arial" w:cs="Arial"/>
                <w:snapToGrid w:val="0"/>
                <w:color w:val="000000"/>
                <w:sz w:val="22"/>
                <w:szCs w:val="22"/>
              </w:rPr>
            </w:pPr>
          </w:p>
        </w:tc>
        <w:tc>
          <w:tcPr>
            <w:tcW w:w="993" w:type="dxa"/>
            <w:tcBorders>
              <w:left w:val="single" w:sz="6" w:space="0" w:color="auto"/>
              <w:right w:val="single" w:sz="6" w:space="0" w:color="auto"/>
            </w:tcBorders>
            <w:shd w:val="clear" w:color="auto" w:fill="FDE9D9" w:themeFill="accent6" w:themeFillTint="33"/>
          </w:tcPr>
          <w:p w14:paraId="69D9053C" w14:textId="77777777" w:rsidR="00FE1EA5" w:rsidRPr="004F3B35" w:rsidRDefault="00FE1EA5">
            <w:pPr>
              <w:jc w:val="center"/>
              <w:rPr>
                <w:rFonts w:ascii="Arial" w:hAnsi="Arial" w:cs="Arial"/>
                <w:snapToGrid w:val="0"/>
                <w:color w:val="000000"/>
                <w:sz w:val="22"/>
                <w:szCs w:val="22"/>
              </w:rPr>
            </w:pPr>
            <w:r w:rsidRPr="004F3B35">
              <w:rPr>
                <w:rFonts w:ascii="Arial" w:hAnsi="Arial" w:cs="Arial"/>
                <w:snapToGrid w:val="0"/>
                <w:color w:val="000000"/>
                <w:sz w:val="22"/>
                <w:szCs w:val="22"/>
              </w:rPr>
              <w:t>100</w:t>
            </w:r>
          </w:p>
        </w:tc>
        <w:tc>
          <w:tcPr>
            <w:tcW w:w="1134" w:type="dxa"/>
            <w:shd w:val="clear" w:color="auto" w:fill="FDE9D9" w:themeFill="accent6" w:themeFillTint="33"/>
          </w:tcPr>
          <w:p w14:paraId="45AAACD5" w14:textId="77777777" w:rsidR="00FE1EA5" w:rsidRPr="004F3B35" w:rsidRDefault="00FE1EA5">
            <w:pPr>
              <w:jc w:val="center"/>
              <w:rPr>
                <w:rFonts w:ascii="Arial" w:hAnsi="Arial" w:cs="Arial"/>
                <w:snapToGrid w:val="0"/>
                <w:color w:val="000000"/>
                <w:sz w:val="22"/>
                <w:szCs w:val="22"/>
              </w:rPr>
            </w:pPr>
            <w:r w:rsidRPr="004F3B35">
              <w:rPr>
                <w:rFonts w:ascii="Arial" w:hAnsi="Arial" w:cs="Arial"/>
                <w:snapToGrid w:val="0"/>
                <w:color w:val="000000"/>
                <w:sz w:val="22"/>
                <w:szCs w:val="22"/>
              </w:rPr>
              <w:t>98 til 100</w:t>
            </w:r>
          </w:p>
        </w:tc>
        <w:tc>
          <w:tcPr>
            <w:tcW w:w="1134" w:type="dxa"/>
            <w:tcBorders>
              <w:left w:val="single" w:sz="6" w:space="0" w:color="auto"/>
              <w:right w:val="single" w:sz="6" w:space="0" w:color="auto"/>
            </w:tcBorders>
            <w:shd w:val="clear" w:color="auto" w:fill="FDE9D9" w:themeFill="accent6" w:themeFillTint="33"/>
          </w:tcPr>
          <w:p w14:paraId="3FB53FA5" w14:textId="77777777" w:rsidR="00FE1EA5" w:rsidRPr="004F3B35" w:rsidRDefault="00FE1EA5">
            <w:pPr>
              <w:jc w:val="center"/>
              <w:rPr>
                <w:rFonts w:ascii="Arial" w:hAnsi="Arial" w:cs="Arial"/>
                <w:snapToGrid w:val="0"/>
                <w:color w:val="000000"/>
                <w:sz w:val="22"/>
                <w:szCs w:val="22"/>
              </w:rPr>
            </w:pPr>
            <w:r w:rsidRPr="004F3B35">
              <w:rPr>
                <w:rFonts w:ascii="Arial" w:hAnsi="Arial" w:cs="Arial"/>
                <w:snapToGrid w:val="0"/>
                <w:color w:val="000000"/>
                <w:sz w:val="22"/>
                <w:szCs w:val="22"/>
              </w:rPr>
              <w:t>80 til 99</w:t>
            </w:r>
          </w:p>
        </w:tc>
        <w:tc>
          <w:tcPr>
            <w:tcW w:w="1134" w:type="dxa"/>
            <w:shd w:val="clear" w:color="auto" w:fill="FDE9D9" w:themeFill="accent6" w:themeFillTint="33"/>
          </w:tcPr>
          <w:p w14:paraId="275775BC" w14:textId="77777777" w:rsidR="00FE1EA5" w:rsidRPr="004F3B35" w:rsidRDefault="00FE1EA5">
            <w:pPr>
              <w:jc w:val="center"/>
              <w:rPr>
                <w:rFonts w:ascii="Arial" w:hAnsi="Arial" w:cs="Arial"/>
                <w:snapToGrid w:val="0"/>
                <w:color w:val="000000"/>
                <w:sz w:val="22"/>
                <w:szCs w:val="22"/>
              </w:rPr>
            </w:pPr>
            <w:r w:rsidRPr="004F3B35">
              <w:rPr>
                <w:rFonts w:ascii="Arial" w:hAnsi="Arial" w:cs="Arial"/>
                <w:snapToGrid w:val="0"/>
                <w:color w:val="000000"/>
                <w:sz w:val="22"/>
                <w:szCs w:val="22"/>
              </w:rPr>
              <w:t>-</w:t>
            </w:r>
          </w:p>
        </w:tc>
        <w:tc>
          <w:tcPr>
            <w:tcW w:w="1134" w:type="dxa"/>
            <w:tcBorders>
              <w:left w:val="single" w:sz="6" w:space="0" w:color="auto"/>
              <w:right w:val="single" w:sz="6" w:space="0" w:color="auto"/>
            </w:tcBorders>
            <w:shd w:val="clear" w:color="auto" w:fill="FDE9D9" w:themeFill="accent6" w:themeFillTint="33"/>
          </w:tcPr>
          <w:p w14:paraId="614C6A23" w14:textId="77777777" w:rsidR="00FE1EA5" w:rsidRPr="004F3B35" w:rsidRDefault="00FE1EA5">
            <w:pPr>
              <w:jc w:val="center"/>
              <w:rPr>
                <w:rFonts w:ascii="Arial" w:hAnsi="Arial" w:cs="Arial"/>
                <w:snapToGrid w:val="0"/>
                <w:color w:val="000000"/>
                <w:sz w:val="22"/>
                <w:szCs w:val="22"/>
              </w:rPr>
            </w:pPr>
            <w:r w:rsidRPr="004F3B35">
              <w:rPr>
                <w:rFonts w:ascii="Arial" w:hAnsi="Arial" w:cs="Arial"/>
                <w:snapToGrid w:val="0"/>
                <w:color w:val="000000"/>
                <w:sz w:val="22"/>
                <w:szCs w:val="22"/>
              </w:rPr>
              <w:t>-</w:t>
            </w:r>
          </w:p>
        </w:tc>
        <w:tc>
          <w:tcPr>
            <w:tcW w:w="1275" w:type="dxa"/>
            <w:tcBorders>
              <w:right w:val="single" w:sz="6" w:space="0" w:color="auto"/>
            </w:tcBorders>
            <w:shd w:val="clear" w:color="auto" w:fill="FDE9D9" w:themeFill="accent6" w:themeFillTint="33"/>
          </w:tcPr>
          <w:p w14:paraId="4B90AD6F" w14:textId="77777777" w:rsidR="00FE1EA5" w:rsidRPr="004F3B35" w:rsidRDefault="00FE1EA5">
            <w:pPr>
              <w:jc w:val="center"/>
              <w:rPr>
                <w:rFonts w:ascii="Arial" w:hAnsi="Arial" w:cs="Arial"/>
                <w:snapToGrid w:val="0"/>
                <w:color w:val="000000"/>
                <w:sz w:val="22"/>
                <w:szCs w:val="22"/>
              </w:rPr>
            </w:pPr>
            <w:r w:rsidRPr="004F3B35">
              <w:rPr>
                <w:rFonts w:ascii="Arial" w:hAnsi="Arial" w:cs="Arial"/>
                <w:snapToGrid w:val="0"/>
                <w:color w:val="000000"/>
                <w:sz w:val="22"/>
                <w:szCs w:val="22"/>
              </w:rPr>
              <w:t>G</w:t>
            </w:r>
            <w:r w:rsidRPr="004F3B35">
              <w:rPr>
                <w:rFonts w:ascii="Arial" w:hAnsi="Arial" w:cs="Arial"/>
                <w:snapToGrid w:val="0"/>
                <w:color w:val="000000"/>
                <w:sz w:val="22"/>
                <w:szCs w:val="22"/>
                <w:vertAlign w:val="subscript"/>
              </w:rPr>
              <w:t>A</w:t>
            </w:r>
            <w:r w:rsidRPr="004F3B35">
              <w:rPr>
                <w:rFonts w:ascii="Arial" w:hAnsi="Arial" w:cs="Arial"/>
                <w:snapToGrid w:val="0"/>
                <w:color w:val="000000"/>
                <w:sz w:val="22"/>
                <w:szCs w:val="22"/>
              </w:rPr>
              <w:t>80</w:t>
            </w:r>
          </w:p>
        </w:tc>
      </w:tr>
      <w:tr w:rsidR="004F3B35" w:rsidRPr="00220C65" w14:paraId="051E5EBD" w14:textId="77777777" w:rsidTr="005171A4">
        <w:trPr>
          <w:trHeight w:val="247"/>
        </w:trPr>
        <w:tc>
          <w:tcPr>
            <w:tcW w:w="925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22D465B7" w14:textId="6BC082EE" w:rsidR="004F3B35" w:rsidRDefault="004F3B35" w:rsidP="004F3B35">
            <w:pPr>
              <w:numPr>
                <w:ilvl w:val="0"/>
                <w:numId w:val="28"/>
              </w:numPr>
              <w:ind w:left="426"/>
              <w:rPr>
                <w:rFonts w:ascii="Arial" w:hAnsi="Arial" w:cs="Arial"/>
                <w:i/>
                <w:snapToGrid w:val="0"/>
                <w:color w:val="000000"/>
                <w:sz w:val="20"/>
                <w:szCs w:val="20"/>
              </w:rPr>
            </w:pPr>
            <w:r w:rsidRPr="004F3B35">
              <w:rPr>
                <w:rFonts w:ascii="Arial" w:hAnsi="Arial" w:cs="Arial"/>
                <w:i/>
                <w:snapToGrid w:val="0"/>
                <w:color w:val="000000"/>
                <w:sz w:val="20"/>
                <w:szCs w:val="20"/>
              </w:rPr>
              <w:t xml:space="preserve">Fyrir steinastærðir þar sem D er stærra en 63 mm (t.d. 80 mm eða 90 mm) gilda einungis kröfur um yfirstærðir </w:t>
            </w:r>
            <w:r w:rsidR="00AB5E57">
              <w:rPr>
                <w:rFonts w:ascii="Arial" w:hAnsi="Arial" w:cs="Arial"/>
                <w:i/>
                <w:snapToGrid w:val="0"/>
                <w:color w:val="000000"/>
                <w:sz w:val="20"/>
                <w:szCs w:val="20"/>
              </w:rPr>
              <w:t>samkvæmt</w:t>
            </w:r>
            <w:r w:rsidRPr="004F3B35">
              <w:rPr>
                <w:rFonts w:ascii="Arial" w:hAnsi="Arial" w:cs="Arial"/>
                <w:i/>
                <w:snapToGrid w:val="0"/>
                <w:color w:val="000000"/>
                <w:sz w:val="20"/>
                <w:szCs w:val="20"/>
              </w:rPr>
              <w:t xml:space="preserve"> 1,4</w:t>
            </w:r>
            <w:r w:rsidR="0025107D">
              <w:rPr>
                <w:rFonts w:ascii="Arial" w:hAnsi="Arial" w:cs="Arial"/>
                <w:i/>
                <w:snapToGrid w:val="0"/>
                <w:color w:val="000000"/>
                <w:sz w:val="20"/>
                <w:szCs w:val="20"/>
              </w:rPr>
              <w:t>*</w:t>
            </w:r>
            <w:r w:rsidRPr="004F3B35">
              <w:rPr>
                <w:rFonts w:ascii="Arial" w:hAnsi="Arial" w:cs="Arial"/>
                <w:i/>
                <w:snapToGrid w:val="0"/>
                <w:color w:val="000000"/>
                <w:sz w:val="20"/>
                <w:szCs w:val="20"/>
              </w:rPr>
              <w:t>D, þar sem ekki eru stærri sigti en 125 mm í ISO 565/R20 röðinni</w:t>
            </w:r>
            <w:r w:rsidR="008C7242">
              <w:rPr>
                <w:rFonts w:ascii="Arial" w:hAnsi="Arial" w:cs="Arial"/>
                <w:i/>
                <w:snapToGrid w:val="0"/>
                <w:color w:val="000000"/>
                <w:sz w:val="20"/>
                <w:szCs w:val="20"/>
              </w:rPr>
              <w:t>.</w:t>
            </w:r>
          </w:p>
          <w:p w14:paraId="494EEAA8" w14:textId="4B3C99E9" w:rsidR="004F3B35" w:rsidRDefault="004F3B35" w:rsidP="004F3B35">
            <w:pPr>
              <w:numPr>
                <w:ilvl w:val="0"/>
                <w:numId w:val="28"/>
              </w:numPr>
              <w:ind w:left="426"/>
              <w:rPr>
                <w:rFonts w:ascii="Arial" w:hAnsi="Arial" w:cs="Arial"/>
                <w:i/>
                <w:snapToGrid w:val="0"/>
                <w:color w:val="000000"/>
                <w:sz w:val="20"/>
                <w:szCs w:val="20"/>
              </w:rPr>
            </w:pPr>
            <w:r>
              <w:rPr>
                <w:rFonts w:ascii="Arial" w:hAnsi="Arial" w:cs="Arial"/>
                <w:i/>
                <w:snapToGrid w:val="0"/>
                <w:color w:val="000000"/>
                <w:sz w:val="20"/>
                <w:szCs w:val="20"/>
              </w:rPr>
              <w:t>Ef hluti efnis sem situr á D er &lt; 1% þyngdar skal framleiðandi skrá og lýsa</w:t>
            </w:r>
            <w:r w:rsidR="00AB5E57">
              <w:rPr>
                <w:rFonts w:ascii="Arial" w:hAnsi="Arial" w:cs="Arial"/>
                <w:i/>
                <w:snapToGrid w:val="0"/>
                <w:color w:val="000000"/>
                <w:sz w:val="20"/>
                <w:szCs w:val="20"/>
              </w:rPr>
              <w:t xml:space="preserve"> (declare)</w:t>
            </w:r>
            <w:r>
              <w:rPr>
                <w:rFonts w:ascii="Arial" w:hAnsi="Arial" w:cs="Arial"/>
                <w:i/>
                <w:snapToGrid w:val="0"/>
                <w:color w:val="000000"/>
                <w:sz w:val="20"/>
                <w:szCs w:val="20"/>
              </w:rPr>
              <w:t xml:space="preserve"> kornadreifi</w:t>
            </w:r>
            <w:r w:rsidR="008B0E11">
              <w:rPr>
                <w:rFonts w:ascii="Arial" w:hAnsi="Arial" w:cs="Arial"/>
                <w:i/>
                <w:snapToGrid w:val="0"/>
                <w:color w:val="000000"/>
                <w:sz w:val="20"/>
                <w:szCs w:val="20"/>
              </w:rPr>
              <w:t>ngunni með sigtunum D, d og</w:t>
            </w:r>
            <w:r w:rsidR="008C7242">
              <w:rPr>
                <w:rFonts w:ascii="Arial" w:hAnsi="Arial" w:cs="Arial"/>
                <w:i/>
                <w:snapToGrid w:val="0"/>
                <w:color w:val="000000"/>
                <w:sz w:val="20"/>
                <w:szCs w:val="20"/>
              </w:rPr>
              <w:t xml:space="preserve"> d/2</w:t>
            </w:r>
            <w:r w:rsidR="008B0E11">
              <w:rPr>
                <w:rFonts w:ascii="Arial" w:hAnsi="Arial" w:cs="Arial"/>
                <w:i/>
                <w:snapToGrid w:val="0"/>
                <w:color w:val="000000"/>
                <w:sz w:val="20"/>
                <w:szCs w:val="20"/>
              </w:rPr>
              <w:t>,</w:t>
            </w:r>
            <w:r w:rsidR="008C7242">
              <w:rPr>
                <w:rFonts w:ascii="Arial" w:hAnsi="Arial" w:cs="Arial"/>
                <w:i/>
                <w:snapToGrid w:val="0"/>
                <w:color w:val="000000"/>
                <w:sz w:val="20"/>
                <w:szCs w:val="20"/>
              </w:rPr>
              <w:t xml:space="preserve"> auk</w:t>
            </w:r>
            <w:r>
              <w:rPr>
                <w:rFonts w:ascii="Arial" w:hAnsi="Arial" w:cs="Arial"/>
                <w:i/>
                <w:snapToGrid w:val="0"/>
                <w:color w:val="000000"/>
                <w:sz w:val="20"/>
                <w:szCs w:val="20"/>
              </w:rPr>
              <w:t xml:space="preserve"> </w:t>
            </w:r>
            <w:r w:rsidR="008C7242">
              <w:rPr>
                <w:rFonts w:ascii="Arial" w:hAnsi="Arial" w:cs="Arial"/>
                <w:i/>
                <w:snapToGrid w:val="0"/>
                <w:color w:val="000000"/>
                <w:sz w:val="20"/>
                <w:szCs w:val="20"/>
              </w:rPr>
              <w:t>grunnsigta</w:t>
            </w:r>
            <w:r>
              <w:rPr>
                <w:rFonts w:ascii="Arial" w:hAnsi="Arial" w:cs="Arial"/>
                <w:i/>
                <w:snapToGrid w:val="0"/>
                <w:color w:val="000000"/>
                <w:sz w:val="20"/>
                <w:szCs w:val="20"/>
              </w:rPr>
              <w:t xml:space="preserve"> </w:t>
            </w:r>
            <w:r w:rsidR="008C7242">
              <w:rPr>
                <w:rFonts w:ascii="Arial" w:hAnsi="Arial" w:cs="Arial"/>
                <w:i/>
                <w:snapToGrid w:val="0"/>
                <w:color w:val="000000"/>
                <w:sz w:val="20"/>
                <w:szCs w:val="20"/>
              </w:rPr>
              <w:t xml:space="preserve">og setti 1 sem liggja á milli d og D. </w:t>
            </w:r>
          </w:p>
          <w:p w14:paraId="738D0C50" w14:textId="49636F72" w:rsidR="008B0E11" w:rsidRPr="004F3B35" w:rsidRDefault="008B0E11" w:rsidP="00E02763">
            <w:pPr>
              <w:numPr>
                <w:ilvl w:val="0"/>
                <w:numId w:val="28"/>
              </w:numPr>
              <w:ind w:left="426"/>
              <w:rPr>
                <w:rFonts w:ascii="Arial" w:hAnsi="Arial" w:cs="Arial"/>
                <w:i/>
                <w:snapToGrid w:val="0"/>
                <w:color w:val="000000"/>
                <w:sz w:val="20"/>
                <w:szCs w:val="20"/>
              </w:rPr>
            </w:pPr>
            <w:r>
              <w:rPr>
                <w:rFonts w:ascii="Arial" w:hAnsi="Arial" w:cs="Arial"/>
                <w:i/>
                <w:snapToGrid w:val="0"/>
                <w:color w:val="000000"/>
                <w:sz w:val="20"/>
                <w:szCs w:val="20"/>
              </w:rPr>
              <w:t xml:space="preserve">Fyrir flokkuð, einskorna steinefni d/D, þar sem D/d </w:t>
            </w:r>
            <w:r w:rsidR="004B29A6">
              <w:rPr>
                <w:rFonts w:ascii="Arial" w:hAnsi="Arial" w:cs="Arial"/>
                <w:i/>
                <w:snapToGrid w:val="0"/>
                <w:color w:val="000000"/>
                <w:sz w:val="20"/>
                <w:szCs w:val="20"/>
              </w:rPr>
              <w:t>&lt;</w:t>
            </w:r>
            <w:r>
              <w:rPr>
                <w:rFonts w:ascii="Arial" w:hAnsi="Arial" w:cs="Arial"/>
                <w:i/>
                <w:snapToGrid w:val="0"/>
                <w:color w:val="000000"/>
                <w:sz w:val="20"/>
                <w:szCs w:val="20"/>
              </w:rPr>
              <w:t xml:space="preserve"> 2 í flokk</w:t>
            </w:r>
            <w:r w:rsidR="00E02763">
              <w:rPr>
                <w:rFonts w:ascii="Arial" w:hAnsi="Arial" w:cs="Arial"/>
                <w:i/>
                <w:snapToGrid w:val="0"/>
                <w:color w:val="000000"/>
                <w:sz w:val="20"/>
                <w:szCs w:val="20"/>
              </w:rPr>
              <w:t>i</w:t>
            </w:r>
            <w:r>
              <w:rPr>
                <w:rFonts w:ascii="Arial" w:hAnsi="Arial" w:cs="Arial"/>
                <w:i/>
                <w:snapToGrid w:val="0"/>
                <w:color w:val="000000"/>
                <w:sz w:val="20"/>
                <w:szCs w:val="20"/>
              </w:rPr>
              <w:t xml:space="preserve"> G</w:t>
            </w:r>
            <w:r w:rsidRPr="008B0E11">
              <w:rPr>
                <w:rFonts w:ascii="Arial" w:hAnsi="Arial" w:cs="Arial"/>
                <w:i/>
                <w:snapToGrid w:val="0"/>
                <w:color w:val="000000"/>
                <w:sz w:val="20"/>
                <w:szCs w:val="20"/>
                <w:vertAlign w:val="subscript"/>
              </w:rPr>
              <w:t>C</w:t>
            </w:r>
            <w:r w:rsidR="00DE4053">
              <w:rPr>
                <w:rFonts w:ascii="Arial" w:hAnsi="Arial" w:cs="Arial"/>
                <w:i/>
                <w:snapToGrid w:val="0"/>
                <w:color w:val="000000"/>
                <w:sz w:val="20"/>
                <w:szCs w:val="20"/>
              </w:rPr>
              <w:t>85/15, má lækka gildi þy</w:t>
            </w:r>
            <w:r>
              <w:rPr>
                <w:rFonts w:ascii="Arial" w:hAnsi="Arial" w:cs="Arial"/>
                <w:i/>
                <w:snapToGrid w:val="0"/>
                <w:color w:val="000000"/>
                <w:sz w:val="20"/>
                <w:szCs w:val="20"/>
              </w:rPr>
              <w:t>ng</w:t>
            </w:r>
            <w:r w:rsidR="00DE4053">
              <w:rPr>
                <w:rFonts w:ascii="Arial" w:hAnsi="Arial" w:cs="Arial"/>
                <w:i/>
                <w:snapToGrid w:val="0"/>
                <w:color w:val="000000"/>
                <w:sz w:val="20"/>
                <w:szCs w:val="20"/>
              </w:rPr>
              <w:t>d</w:t>
            </w:r>
            <w:r>
              <w:rPr>
                <w:rFonts w:ascii="Arial" w:hAnsi="Arial" w:cs="Arial"/>
                <w:i/>
                <w:snapToGrid w:val="0"/>
                <w:color w:val="000000"/>
                <w:sz w:val="20"/>
                <w:szCs w:val="20"/>
              </w:rPr>
              <w:t>a</w:t>
            </w:r>
            <w:r w:rsidR="00DE4053">
              <w:rPr>
                <w:rFonts w:ascii="Arial" w:hAnsi="Arial" w:cs="Arial"/>
                <w:i/>
                <w:snapToGrid w:val="0"/>
                <w:color w:val="000000"/>
                <w:sz w:val="20"/>
                <w:szCs w:val="20"/>
              </w:rPr>
              <w:t>r</w:t>
            </w:r>
            <w:r>
              <w:rPr>
                <w:rFonts w:ascii="Arial" w:hAnsi="Arial" w:cs="Arial"/>
                <w:i/>
                <w:snapToGrid w:val="0"/>
                <w:color w:val="000000"/>
                <w:sz w:val="20"/>
                <w:szCs w:val="20"/>
              </w:rPr>
              <w:t>hluta sem smýgur D um 5% ef notkun býður upp á það.</w:t>
            </w:r>
          </w:p>
        </w:tc>
      </w:tr>
    </w:tbl>
    <w:p w14:paraId="79252DEE" w14:textId="77777777" w:rsidR="007022B7" w:rsidRPr="00352BAA" w:rsidRDefault="007022B7" w:rsidP="007022B7"/>
    <w:p w14:paraId="23E13DCD" w14:textId="6B7C9B70" w:rsidR="00AD4F07" w:rsidRDefault="000700F2" w:rsidP="008854B5">
      <w:r>
        <w:t xml:space="preserve">Í viðkomandi köflum Efnisgæðaritsins eru birtir þeir </w:t>
      </w:r>
      <w:r w:rsidR="00352BAA" w:rsidRPr="00352BAA">
        <w:t>kröfuflokkar sem Vegagerðin mælir með að verði notaðir, annars vegar fyrir steinefni í klæðingu og hins vegar óbundin steinef</w:t>
      </w:r>
      <w:r w:rsidR="008854B5">
        <w:t>ni í burðarlag eða styrktarlag.</w:t>
      </w:r>
    </w:p>
    <w:p w14:paraId="22600949" w14:textId="39E7FED6" w:rsidR="007954D5" w:rsidRPr="0004398E" w:rsidRDefault="004E4DC1" w:rsidP="008854B5">
      <w:pPr>
        <w:pStyle w:val="FootnoteText"/>
        <w:ind w:firstLine="284"/>
        <w:jc w:val="both"/>
        <w:rPr>
          <w:sz w:val="24"/>
          <w:szCs w:val="24"/>
        </w:rPr>
      </w:pPr>
      <w:r w:rsidRPr="00550912" w:rsidDel="004E4DC1">
        <w:t xml:space="preserve"> </w:t>
      </w:r>
      <w:r w:rsidR="007954D5" w:rsidRPr="00A34B6A">
        <w:rPr>
          <w:sz w:val="24"/>
          <w:szCs w:val="24"/>
        </w:rPr>
        <w:t xml:space="preserve">Sem </w:t>
      </w:r>
      <w:r w:rsidR="007954D5">
        <w:rPr>
          <w:sz w:val="24"/>
          <w:szCs w:val="24"/>
        </w:rPr>
        <w:t>dæmi</w:t>
      </w:r>
      <w:r w:rsidR="00120A9F">
        <w:rPr>
          <w:sz w:val="24"/>
          <w:szCs w:val="24"/>
        </w:rPr>
        <w:t xml:space="preserve"> úr töflu 4.3</w:t>
      </w:r>
      <w:r w:rsidR="007954D5">
        <w:rPr>
          <w:sz w:val="24"/>
          <w:szCs w:val="24"/>
        </w:rPr>
        <w:t xml:space="preserve"> má taka flokkað efni 22/63</w:t>
      </w:r>
      <w:r w:rsidR="005F1ABB">
        <w:rPr>
          <w:sz w:val="24"/>
          <w:szCs w:val="24"/>
        </w:rPr>
        <w:t xml:space="preserve"> mm</w:t>
      </w:r>
      <w:r w:rsidR="0025107D">
        <w:rPr>
          <w:sz w:val="24"/>
          <w:szCs w:val="24"/>
        </w:rPr>
        <w:t>,</w:t>
      </w:r>
      <w:r w:rsidR="007954D5">
        <w:rPr>
          <w:sz w:val="24"/>
          <w:szCs w:val="24"/>
        </w:rPr>
        <w:t xml:space="preserve"> þ</w:t>
      </w:r>
      <w:r w:rsidR="0025107D">
        <w:rPr>
          <w:sz w:val="24"/>
          <w:szCs w:val="24"/>
        </w:rPr>
        <w:t>ar sem</w:t>
      </w:r>
      <w:r w:rsidR="007954D5">
        <w:rPr>
          <w:sz w:val="24"/>
          <w:szCs w:val="24"/>
        </w:rPr>
        <w:t xml:space="preserve"> d = 22 mm og D = 63 mm</w:t>
      </w:r>
      <w:r w:rsidR="007954D5" w:rsidRPr="00A34B6A">
        <w:rPr>
          <w:sz w:val="24"/>
          <w:szCs w:val="24"/>
        </w:rPr>
        <w:t xml:space="preserve">. Ef valinn er kröfuflokkur Gc 85/15 þá mega 0-15% af efninu smjúga 22 mm sigti (d) og 85-99% af efninu </w:t>
      </w:r>
      <w:r w:rsidR="007954D5">
        <w:rPr>
          <w:sz w:val="24"/>
          <w:szCs w:val="24"/>
        </w:rPr>
        <w:t>mega smjúga 63</w:t>
      </w:r>
      <w:r w:rsidR="007954D5" w:rsidRPr="00A34B6A">
        <w:rPr>
          <w:sz w:val="24"/>
          <w:szCs w:val="24"/>
        </w:rPr>
        <w:t xml:space="preserve"> mm sigti (D). Þannig verður að lágmarki 1% af efninu að </w:t>
      </w:r>
      <w:r w:rsidR="007954D5">
        <w:rPr>
          <w:sz w:val="24"/>
          <w:szCs w:val="24"/>
        </w:rPr>
        <w:t>sitja á 63</w:t>
      </w:r>
      <w:r w:rsidR="007954D5" w:rsidRPr="00A34B6A">
        <w:rPr>
          <w:sz w:val="24"/>
          <w:szCs w:val="24"/>
        </w:rPr>
        <w:t xml:space="preserve"> mm sigtinu sem er mikilvægt til að tryggja að efnið nái þeirri </w:t>
      </w:r>
      <w:r w:rsidR="007954D5" w:rsidRPr="00A34B6A">
        <w:rPr>
          <w:sz w:val="24"/>
          <w:szCs w:val="24"/>
        </w:rPr>
        <w:lastRenderedPageBreak/>
        <w:t>e</w:t>
      </w:r>
      <w:r w:rsidR="007954D5">
        <w:rPr>
          <w:sz w:val="24"/>
          <w:szCs w:val="24"/>
        </w:rPr>
        <w:t xml:space="preserve">fri flokkunarstærð </w:t>
      </w:r>
      <w:r w:rsidR="00120A9F">
        <w:rPr>
          <w:sz w:val="24"/>
          <w:szCs w:val="24"/>
        </w:rPr>
        <w:t xml:space="preserve">sem um ræðir </w:t>
      </w:r>
      <w:r w:rsidR="007954D5">
        <w:rPr>
          <w:sz w:val="24"/>
          <w:szCs w:val="24"/>
        </w:rPr>
        <w:t>(þ.e. D = 63</w:t>
      </w:r>
      <w:r w:rsidR="007954D5" w:rsidRPr="00A34B6A">
        <w:rPr>
          <w:sz w:val="24"/>
          <w:szCs w:val="24"/>
        </w:rPr>
        <w:t>). Samkvæmt kröfuflokki Gc 85/15 mega 0-5% af efninu smjúga 11 mm sigti (d/2 = 11)</w:t>
      </w:r>
      <w:r w:rsidR="007954D5">
        <w:rPr>
          <w:sz w:val="24"/>
          <w:szCs w:val="24"/>
        </w:rPr>
        <w:t xml:space="preserve"> og 98-100% verða að smjúga 90 mm sigti (1,4</w:t>
      </w:r>
      <w:r w:rsidR="0025107D">
        <w:rPr>
          <w:sz w:val="24"/>
          <w:szCs w:val="24"/>
        </w:rPr>
        <w:t>*</w:t>
      </w:r>
      <w:r w:rsidR="007954D5">
        <w:rPr>
          <w:sz w:val="24"/>
          <w:szCs w:val="24"/>
        </w:rPr>
        <w:t>D = 90</w:t>
      </w:r>
      <w:r w:rsidR="007954D5" w:rsidRPr="00A34B6A">
        <w:rPr>
          <w:sz w:val="24"/>
          <w:szCs w:val="24"/>
        </w:rPr>
        <w:t>). Að lokum</w:t>
      </w:r>
      <w:r w:rsidR="007954D5">
        <w:rPr>
          <w:sz w:val="24"/>
          <w:szCs w:val="24"/>
        </w:rPr>
        <w:t xml:space="preserve"> verður allt efnið að smjúga 125 mm sigti (2</w:t>
      </w:r>
      <w:r w:rsidR="0025107D">
        <w:rPr>
          <w:sz w:val="24"/>
          <w:szCs w:val="24"/>
        </w:rPr>
        <w:t>*</w:t>
      </w:r>
      <w:r w:rsidR="007954D5">
        <w:rPr>
          <w:sz w:val="24"/>
          <w:szCs w:val="24"/>
        </w:rPr>
        <w:t>D = 125</w:t>
      </w:r>
      <w:r w:rsidR="007954D5" w:rsidRPr="00A34B6A">
        <w:rPr>
          <w:sz w:val="24"/>
          <w:szCs w:val="24"/>
        </w:rPr>
        <w:t>).</w:t>
      </w:r>
      <w:r w:rsidR="007954D5" w:rsidRPr="0004398E">
        <w:rPr>
          <w:sz w:val="24"/>
          <w:szCs w:val="24"/>
        </w:rPr>
        <w:t xml:space="preserve"> </w:t>
      </w:r>
    </w:p>
    <w:p w14:paraId="5950F8E1" w14:textId="217B95BB" w:rsidR="00D74929" w:rsidRPr="00F52AF8" w:rsidRDefault="007954D5" w:rsidP="00551CFB">
      <w:pPr>
        <w:jc w:val="both"/>
      </w:pPr>
      <w:r w:rsidRPr="00A34B6A">
        <w:t>Sem dæmi má taka óflokk</w:t>
      </w:r>
      <w:r>
        <w:t>að efni 0/32</w:t>
      </w:r>
      <w:r w:rsidR="005335FD">
        <w:t>, þar sem</w:t>
      </w:r>
      <w:r>
        <w:t xml:space="preserve"> d = 0 og D = 32</w:t>
      </w:r>
      <w:r w:rsidRPr="00A34B6A">
        <w:t>. Ef valinn er kröfuflokk</w:t>
      </w:r>
      <w:r>
        <w:softHyphen/>
      </w:r>
      <w:r w:rsidRPr="00A34B6A">
        <w:t>ur G</w:t>
      </w:r>
      <w:r w:rsidRPr="00A34B6A">
        <w:rPr>
          <w:vertAlign w:val="subscript"/>
        </w:rPr>
        <w:t>A</w:t>
      </w:r>
      <w:r w:rsidRPr="00A34B6A">
        <w:t xml:space="preserve"> 80 þá </w:t>
      </w:r>
      <w:r>
        <w:t>mega 80-99% af efninu smjúga 32</w:t>
      </w:r>
      <w:r w:rsidRPr="00A34B6A">
        <w:t xml:space="preserve"> mm sigti (D) og eins og í dæminu hér fyrir ofan </w:t>
      </w:r>
      <w:r w:rsidRPr="00F52AF8">
        <w:t>verður að lágmarki 1% af efninu að sitja á 32 mm sigtinu. Á bilinu 98-100</w:t>
      </w:r>
      <w:r w:rsidR="005335FD" w:rsidRPr="00F52AF8">
        <w:t>%</w:t>
      </w:r>
      <w:r w:rsidRPr="00F52AF8">
        <w:t xml:space="preserve"> verða að smjúga 45 mm sigti (1,4</w:t>
      </w:r>
      <w:r w:rsidR="005335FD" w:rsidRPr="00F52AF8">
        <w:t>*</w:t>
      </w:r>
      <w:r w:rsidRPr="00F52AF8">
        <w:t>D = 45). Að lokum verður allt efnið að smjúga 63 mm sigti (2</w:t>
      </w:r>
      <w:r w:rsidR="005335FD" w:rsidRPr="00F52AF8">
        <w:t>*</w:t>
      </w:r>
      <w:r w:rsidRPr="00F52AF8">
        <w:t>D = 63).</w:t>
      </w:r>
      <w:r w:rsidR="004745BE" w:rsidRPr="00F52AF8">
        <w:t xml:space="preserve"> Í </w:t>
      </w:r>
      <w:r w:rsidR="002C7BF3">
        <w:t xml:space="preserve">framleiðslustöðlum </w:t>
      </w:r>
      <w:r w:rsidR="004745BE" w:rsidRPr="00F52AF8">
        <w:t>er sett fram sú krafa varðandi kornadreifingu að 90% mælinga skuli liggja innan marka sem framleiðandi lýsir yfir, um yfir- og undirstærðir og fínefnaflokk.</w:t>
      </w:r>
    </w:p>
    <w:p w14:paraId="1268B4E5" w14:textId="06B73811" w:rsidR="00357380" w:rsidRPr="00551CFB" w:rsidRDefault="0012777F" w:rsidP="008854B5">
      <w:pPr>
        <w:ind w:firstLine="284"/>
        <w:jc w:val="both"/>
      </w:pPr>
      <w:r w:rsidRPr="00F52AF8">
        <w:t>Eins og áður kom fram eru í</w:t>
      </w:r>
      <w:r w:rsidR="00551CFB" w:rsidRPr="00F52AF8">
        <w:t xml:space="preserve"> framleiðslustöðlum</w:t>
      </w:r>
      <w:r w:rsidR="00143086" w:rsidRPr="00F52AF8">
        <w:t xml:space="preserve"> ÍST EN 1</w:t>
      </w:r>
      <w:r w:rsidR="00143086" w:rsidRPr="00143086">
        <w:t>2620, 13043 og 13242</w:t>
      </w:r>
      <w:r w:rsidR="00551CFB" w:rsidRPr="00143086">
        <w:t xml:space="preserve"> </w:t>
      </w:r>
      <w:r>
        <w:t>enn fleiri stærðarflokkar</w:t>
      </w:r>
      <w:r w:rsidR="00551CFB" w:rsidRPr="00143086">
        <w:t>. Þessir flokkar eru ekki birtir í töflunni, þar sem ekki er hefð fyrir að nota slíkt efni hérlendis.</w:t>
      </w:r>
    </w:p>
    <w:sectPr w:rsidR="00357380" w:rsidRPr="00551CFB" w:rsidSect="00A07A52">
      <w:headerReference w:type="default" r:id="rId14"/>
      <w:footerReference w:type="even" r:id="rId15"/>
      <w:footerReference w:type="default" r:id="rId16"/>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D0AFF" w14:textId="77777777" w:rsidR="0086623E" w:rsidRDefault="0086623E" w:rsidP="00A8726A">
      <w:r>
        <w:separator/>
      </w:r>
    </w:p>
  </w:endnote>
  <w:endnote w:type="continuationSeparator" w:id="0">
    <w:p w14:paraId="13C17217" w14:textId="77777777" w:rsidR="0086623E" w:rsidRDefault="0086623E" w:rsidP="00A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84B33" w14:textId="77777777" w:rsidR="00A07A52" w:rsidRDefault="00A0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994AF" w14:textId="77777777" w:rsidR="00A07A52" w:rsidRDefault="00A07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0070C" w14:textId="77777777" w:rsidR="00A07A52" w:rsidRDefault="00A0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B61">
      <w:rPr>
        <w:rStyle w:val="PageNumber"/>
        <w:noProof/>
      </w:rPr>
      <w:t>17</w:t>
    </w:r>
    <w:r>
      <w:rPr>
        <w:rStyle w:val="PageNumber"/>
      </w:rPr>
      <w:fldChar w:fldCharType="end"/>
    </w:r>
  </w:p>
  <w:p w14:paraId="336B407C" w14:textId="77777777" w:rsidR="00A07A52" w:rsidRDefault="00A07A52">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A949A" w14:textId="77777777" w:rsidR="0086623E" w:rsidRDefault="0086623E" w:rsidP="00A8726A">
      <w:r>
        <w:separator/>
      </w:r>
    </w:p>
  </w:footnote>
  <w:footnote w:type="continuationSeparator" w:id="0">
    <w:p w14:paraId="25519BE6" w14:textId="77777777" w:rsidR="0086623E" w:rsidRDefault="0086623E" w:rsidP="00A87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1207" w14:textId="475394C0" w:rsidR="00A07A52" w:rsidRDefault="00A07A52">
    <w:pPr>
      <w:pStyle w:val="Header"/>
    </w:pPr>
    <w:r>
      <w:t>Viðauki 4</w:t>
    </w:r>
    <w:r>
      <w:ptab w:relativeTo="margin" w:alignment="center" w:leader="none"/>
    </w:r>
    <w:r>
      <w:ptab w:relativeTo="margin" w:alignment="right" w:leader="none"/>
    </w:r>
    <w:r>
      <w:t>Janúar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3968D58"/>
    <w:lvl w:ilvl="0">
      <w:numFmt w:val="decimal"/>
      <w:lvlText w:val="*"/>
      <w:lvlJc w:val="left"/>
    </w:lvl>
  </w:abstractNum>
  <w:abstractNum w:abstractNumId="1" w15:restartNumberingAfterBreak="0">
    <w:nsid w:val="003E6CD1"/>
    <w:multiLevelType w:val="hybridMultilevel"/>
    <w:tmpl w:val="49A26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310A0"/>
    <w:multiLevelType w:val="hybridMultilevel"/>
    <w:tmpl w:val="6172BBEC"/>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774AC"/>
    <w:multiLevelType w:val="hybridMultilevel"/>
    <w:tmpl w:val="F8A6C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47410"/>
    <w:multiLevelType w:val="hybridMultilevel"/>
    <w:tmpl w:val="B950B24E"/>
    <w:lvl w:ilvl="0" w:tplc="90E8B8A2">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AA1362"/>
    <w:multiLevelType w:val="hybridMultilevel"/>
    <w:tmpl w:val="AB102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71BF1"/>
    <w:multiLevelType w:val="hybridMultilevel"/>
    <w:tmpl w:val="39865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24B82"/>
    <w:multiLevelType w:val="hybridMultilevel"/>
    <w:tmpl w:val="F2486A1C"/>
    <w:lvl w:ilvl="0" w:tplc="4A0E64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5F"/>
    <w:multiLevelType w:val="hybridMultilevel"/>
    <w:tmpl w:val="30D493E4"/>
    <w:lvl w:ilvl="0" w:tplc="5004FD20">
      <w:start w:val="1"/>
      <w:numFmt w:val="bullet"/>
      <w:lvlText w:val=""/>
      <w:legacy w:legacy="1" w:legacySpace="1080" w:legacyIndent="283"/>
      <w:lvlJc w:val="left"/>
      <w:pPr>
        <w:ind w:left="1723" w:hanging="283"/>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647C0F"/>
    <w:multiLevelType w:val="hybridMultilevel"/>
    <w:tmpl w:val="2C0054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8F74716"/>
    <w:multiLevelType w:val="hybridMultilevel"/>
    <w:tmpl w:val="0AFEFE2C"/>
    <w:lvl w:ilvl="0" w:tplc="04090001">
      <w:start w:val="1"/>
      <w:numFmt w:val="bullet"/>
      <w:lvlText w:val=""/>
      <w:lvlJc w:val="left"/>
      <w:pPr>
        <w:tabs>
          <w:tab w:val="num" w:pos="720"/>
        </w:tabs>
        <w:ind w:left="720" w:hanging="360"/>
      </w:pPr>
      <w:rPr>
        <w:rFonts w:ascii="Symbol" w:hAnsi="Symbol" w:hint="default"/>
      </w:rPr>
    </w:lvl>
    <w:lvl w:ilvl="1" w:tplc="A6384C10">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A797D"/>
    <w:multiLevelType w:val="hybridMultilevel"/>
    <w:tmpl w:val="2778929C"/>
    <w:lvl w:ilvl="0" w:tplc="5004FD20">
      <w:start w:val="1"/>
      <w:numFmt w:val="bullet"/>
      <w:lvlText w:val=""/>
      <w:legacy w:legacy="1" w:legacySpace="0" w:legacyIndent="283"/>
      <w:lvlJc w:val="left"/>
      <w:pPr>
        <w:ind w:left="2487" w:hanging="283"/>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470FE0"/>
    <w:multiLevelType w:val="hybridMultilevel"/>
    <w:tmpl w:val="64EAE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3C1A91"/>
    <w:multiLevelType w:val="hybridMultilevel"/>
    <w:tmpl w:val="CBA2C060"/>
    <w:lvl w:ilvl="0" w:tplc="90E8B8A2">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EE6832"/>
    <w:multiLevelType w:val="hybridMultilevel"/>
    <w:tmpl w:val="0C2C6962"/>
    <w:lvl w:ilvl="0" w:tplc="90E8B8A2">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806A12"/>
    <w:multiLevelType w:val="hybridMultilevel"/>
    <w:tmpl w:val="CFA2F2CE"/>
    <w:lvl w:ilvl="0" w:tplc="6A54ACFA">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30699"/>
    <w:multiLevelType w:val="hybridMultilevel"/>
    <w:tmpl w:val="795C5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20F4E"/>
    <w:multiLevelType w:val="hybridMultilevel"/>
    <w:tmpl w:val="AA8899CA"/>
    <w:lvl w:ilvl="0" w:tplc="8494AF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D2A7A"/>
    <w:multiLevelType w:val="hybridMultilevel"/>
    <w:tmpl w:val="69FEA89C"/>
    <w:lvl w:ilvl="0" w:tplc="90E8B8A2">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A2106FD"/>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A5F61C0"/>
    <w:multiLevelType w:val="multilevel"/>
    <w:tmpl w:val="04090025"/>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2139"/>
        </w:tabs>
        <w:ind w:left="2139" w:hanging="720"/>
      </w:pPr>
    </w:lvl>
    <w:lvl w:ilvl="3">
      <w:start w:val="1"/>
      <w:numFmt w:val="decimal"/>
      <w:pStyle w:val="Heading4"/>
      <w:lvlText w:val="%1.%2.%3.%4"/>
      <w:lvlJc w:val="left"/>
      <w:pPr>
        <w:tabs>
          <w:tab w:val="num" w:pos="1432"/>
        </w:tabs>
        <w:ind w:left="1432" w:hanging="864"/>
      </w:pPr>
    </w:lvl>
    <w:lvl w:ilvl="4">
      <w:start w:val="1"/>
      <w:numFmt w:val="decimal"/>
      <w:pStyle w:val="Heading5"/>
      <w:lvlText w:val="%1.%2.%3.%4.%5"/>
      <w:lvlJc w:val="left"/>
      <w:pPr>
        <w:tabs>
          <w:tab w:val="num" w:pos="1150"/>
        </w:tabs>
        <w:ind w:left="1150" w:hanging="1008"/>
      </w:pPr>
    </w:lvl>
    <w:lvl w:ilvl="5">
      <w:start w:val="1"/>
      <w:numFmt w:val="decimal"/>
      <w:pStyle w:val="Heading6"/>
      <w:lvlText w:val="%1.%2.%3.%4.%5.%6"/>
      <w:lvlJc w:val="left"/>
      <w:pPr>
        <w:tabs>
          <w:tab w:val="num" w:pos="1294"/>
        </w:tabs>
        <w:ind w:left="1294" w:hanging="1152"/>
      </w:pPr>
    </w:lvl>
    <w:lvl w:ilvl="6">
      <w:start w:val="1"/>
      <w:numFmt w:val="decimal"/>
      <w:pStyle w:val="Heading7"/>
      <w:lvlText w:val="%1.%2.%3.%4.%5.%6.%7"/>
      <w:lvlJc w:val="left"/>
      <w:pPr>
        <w:tabs>
          <w:tab w:val="num" w:pos="1438"/>
        </w:tabs>
        <w:ind w:left="1438" w:hanging="1296"/>
      </w:pPr>
    </w:lvl>
    <w:lvl w:ilvl="7">
      <w:start w:val="1"/>
      <w:numFmt w:val="decimal"/>
      <w:pStyle w:val="Heading8"/>
      <w:lvlText w:val="%1.%2.%3.%4.%5.%6.%7.%8"/>
      <w:lvlJc w:val="left"/>
      <w:pPr>
        <w:tabs>
          <w:tab w:val="num" w:pos="1582"/>
        </w:tabs>
        <w:ind w:left="1582" w:hanging="1440"/>
      </w:pPr>
    </w:lvl>
    <w:lvl w:ilvl="8">
      <w:start w:val="1"/>
      <w:numFmt w:val="decimal"/>
      <w:pStyle w:val="Heading9"/>
      <w:lvlText w:val="%1.%2.%3.%4.%5.%6.%7.%8.%9"/>
      <w:lvlJc w:val="left"/>
      <w:pPr>
        <w:tabs>
          <w:tab w:val="num" w:pos="1726"/>
        </w:tabs>
        <w:ind w:left="1726" w:hanging="1584"/>
      </w:pPr>
    </w:lvl>
  </w:abstractNum>
  <w:abstractNum w:abstractNumId="21" w15:restartNumberingAfterBreak="0">
    <w:nsid w:val="4C202B8D"/>
    <w:multiLevelType w:val="hybridMultilevel"/>
    <w:tmpl w:val="1B084E0E"/>
    <w:lvl w:ilvl="0" w:tplc="90E8B8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63F04"/>
    <w:multiLevelType w:val="hybridMultilevel"/>
    <w:tmpl w:val="7570A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013C6"/>
    <w:multiLevelType w:val="hybridMultilevel"/>
    <w:tmpl w:val="206C415E"/>
    <w:lvl w:ilvl="0" w:tplc="EBF2304C">
      <w:start w:val="4"/>
      <w:numFmt w:val="bullet"/>
      <w:lvlText w:val=""/>
      <w:lvlJc w:val="left"/>
      <w:pPr>
        <w:ind w:left="644" w:hanging="360"/>
      </w:pPr>
      <w:rPr>
        <w:rFonts w:ascii="Symbol" w:eastAsia="Times New Roman" w:hAnsi="Symbol"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4" w15:restartNumberingAfterBreak="0">
    <w:nsid w:val="52F12C77"/>
    <w:multiLevelType w:val="hybridMultilevel"/>
    <w:tmpl w:val="A66CE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55A85"/>
    <w:multiLevelType w:val="hybridMultilevel"/>
    <w:tmpl w:val="A66CE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71CD1"/>
    <w:multiLevelType w:val="hybridMultilevel"/>
    <w:tmpl w:val="2F94A12A"/>
    <w:lvl w:ilvl="0" w:tplc="C844894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2A3F85"/>
    <w:multiLevelType w:val="hybridMultilevel"/>
    <w:tmpl w:val="49A26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53737"/>
    <w:multiLevelType w:val="hybridMultilevel"/>
    <w:tmpl w:val="46769246"/>
    <w:lvl w:ilvl="0" w:tplc="C4708F3A">
      <w:start w:val="1"/>
      <w:numFmt w:val="decimal"/>
      <w:lvlText w:val="%1)"/>
      <w:lvlJc w:val="left"/>
      <w:pPr>
        <w:ind w:left="1080" w:hanging="360"/>
      </w:pPr>
      <w:rPr>
        <w:rFonts w:hint="default"/>
        <w:i/>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D70BB9"/>
    <w:multiLevelType w:val="hybridMultilevel"/>
    <w:tmpl w:val="D598DC28"/>
    <w:lvl w:ilvl="0" w:tplc="90E8B8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9046C"/>
    <w:multiLevelType w:val="hybridMultilevel"/>
    <w:tmpl w:val="CB32F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E230A6"/>
    <w:multiLevelType w:val="hybridMultilevel"/>
    <w:tmpl w:val="F2486A1C"/>
    <w:lvl w:ilvl="0" w:tplc="4A0E64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EFB578A"/>
    <w:multiLevelType w:val="hybridMultilevel"/>
    <w:tmpl w:val="1A92A32E"/>
    <w:lvl w:ilvl="0" w:tplc="90E8B8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D34F5"/>
    <w:multiLevelType w:val="hybridMultilevel"/>
    <w:tmpl w:val="B72249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7A3D5ABC"/>
    <w:multiLevelType w:val="hybridMultilevel"/>
    <w:tmpl w:val="30D493E4"/>
    <w:lvl w:ilvl="0" w:tplc="90E8B8A2">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B1523D"/>
    <w:multiLevelType w:val="singleLevel"/>
    <w:tmpl w:val="0809000F"/>
    <w:lvl w:ilvl="0">
      <w:start w:val="1"/>
      <w:numFmt w:val="decimal"/>
      <w:lvlText w:val="%1."/>
      <w:lvlJc w:val="left"/>
      <w:pPr>
        <w:tabs>
          <w:tab w:val="num" w:pos="360"/>
        </w:tabs>
        <w:ind w:left="360" w:hanging="360"/>
      </w:pPr>
    </w:lvl>
  </w:abstractNum>
  <w:num w:numId="1">
    <w:abstractNumId w:val="16"/>
  </w:num>
  <w:num w:numId="2">
    <w:abstractNumId w:val="10"/>
  </w:num>
  <w:num w:numId="3">
    <w:abstractNumId w:val="6"/>
  </w:num>
  <w:num w:numId="4">
    <w:abstractNumId w:val="12"/>
  </w:num>
  <w:num w:numId="5">
    <w:abstractNumId w:val="9"/>
  </w:num>
  <w:num w:numId="6">
    <w:abstractNumId w:val="20"/>
  </w:num>
  <w:num w:numId="7">
    <w:abstractNumId w:val="22"/>
  </w:num>
  <w:num w:numId="8">
    <w:abstractNumId w:val="30"/>
  </w:num>
  <w:num w:numId="9">
    <w:abstractNumId w:val="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7"/>
  </w:num>
  <w:num w:numId="12">
    <w:abstractNumId w:val="31"/>
  </w:num>
  <w:num w:numId="13">
    <w:abstractNumId w:val="11"/>
  </w:num>
  <w:num w:numId="14">
    <w:abstractNumId w:val="14"/>
  </w:num>
  <w:num w:numId="15">
    <w:abstractNumId w:val="13"/>
  </w:num>
  <w:num w:numId="16">
    <w:abstractNumId w:val="29"/>
  </w:num>
  <w:num w:numId="17">
    <w:abstractNumId w:val="21"/>
  </w:num>
  <w:num w:numId="18">
    <w:abstractNumId w:val="32"/>
  </w:num>
  <w:num w:numId="19">
    <w:abstractNumId w:val="18"/>
  </w:num>
  <w:num w:numId="20">
    <w:abstractNumId w:val="4"/>
  </w:num>
  <w:num w:numId="21">
    <w:abstractNumId w:val="34"/>
  </w:num>
  <w:num w:numId="22">
    <w:abstractNumId w:val="8"/>
  </w:num>
  <w:num w:numId="23">
    <w:abstractNumId w:val="19"/>
  </w:num>
  <w:num w:numId="24">
    <w:abstractNumId w:val="35"/>
  </w:num>
  <w:num w:numId="25">
    <w:abstractNumId w:val="2"/>
  </w:num>
  <w:num w:numId="26">
    <w:abstractNumId w:val="3"/>
  </w:num>
  <w:num w:numId="27">
    <w:abstractNumId w:val="17"/>
  </w:num>
  <w:num w:numId="28">
    <w:abstractNumId w:val="15"/>
  </w:num>
  <w:num w:numId="29">
    <w:abstractNumId w:val="24"/>
  </w:num>
  <w:num w:numId="30">
    <w:abstractNumId w:val="25"/>
  </w:num>
  <w:num w:numId="31">
    <w:abstractNumId w:val="1"/>
  </w:num>
  <w:num w:numId="32">
    <w:abstractNumId w:val="27"/>
  </w:num>
  <w:num w:numId="33">
    <w:abstractNumId w:val="23"/>
  </w:num>
  <w:num w:numId="34">
    <w:abstractNumId w:val="33"/>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18"/>
    <w:rsid w:val="00000623"/>
    <w:rsid w:val="000017AE"/>
    <w:rsid w:val="000045D9"/>
    <w:rsid w:val="00004ED7"/>
    <w:rsid w:val="0000685A"/>
    <w:rsid w:val="000101FF"/>
    <w:rsid w:val="00015862"/>
    <w:rsid w:val="00016C42"/>
    <w:rsid w:val="00023BC9"/>
    <w:rsid w:val="0003233A"/>
    <w:rsid w:val="00042342"/>
    <w:rsid w:val="00043C96"/>
    <w:rsid w:val="00045524"/>
    <w:rsid w:val="0005041E"/>
    <w:rsid w:val="00053DED"/>
    <w:rsid w:val="000568B3"/>
    <w:rsid w:val="00057D10"/>
    <w:rsid w:val="0006070A"/>
    <w:rsid w:val="00066D90"/>
    <w:rsid w:val="000700F2"/>
    <w:rsid w:val="00075FE8"/>
    <w:rsid w:val="00076C00"/>
    <w:rsid w:val="00083C6D"/>
    <w:rsid w:val="000843DA"/>
    <w:rsid w:val="0008528B"/>
    <w:rsid w:val="00085E63"/>
    <w:rsid w:val="00097956"/>
    <w:rsid w:val="000A2A29"/>
    <w:rsid w:val="000A2D96"/>
    <w:rsid w:val="000A2FA9"/>
    <w:rsid w:val="000A30FF"/>
    <w:rsid w:val="000B1996"/>
    <w:rsid w:val="000C0C54"/>
    <w:rsid w:val="000C5BFA"/>
    <w:rsid w:val="000D34D3"/>
    <w:rsid w:val="000D7ACD"/>
    <w:rsid w:val="000E0B7C"/>
    <w:rsid w:val="000E0CB7"/>
    <w:rsid w:val="000E132D"/>
    <w:rsid w:val="000F2EB7"/>
    <w:rsid w:val="000F554A"/>
    <w:rsid w:val="000F7938"/>
    <w:rsid w:val="001015CD"/>
    <w:rsid w:val="00101B2F"/>
    <w:rsid w:val="00103145"/>
    <w:rsid w:val="00103ED0"/>
    <w:rsid w:val="001105EF"/>
    <w:rsid w:val="001115F5"/>
    <w:rsid w:val="00113A18"/>
    <w:rsid w:val="00120A9F"/>
    <w:rsid w:val="0012777F"/>
    <w:rsid w:val="0013557B"/>
    <w:rsid w:val="00135F2D"/>
    <w:rsid w:val="00140484"/>
    <w:rsid w:val="00141C8B"/>
    <w:rsid w:val="00143086"/>
    <w:rsid w:val="0014393C"/>
    <w:rsid w:val="001454D6"/>
    <w:rsid w:val="001533EF"/>
    <w:rsid w:val="00161887"/>
    <w:rsid w:val="00165E10"/>
    <w:rsid w:val="001666BD"/>
    <w:rsid w:val="00170276"/>
    <w:rsid w:val="00171E50"/>
    <w:rsid w:val="00172113"/>
    <w:rsid w:val="00173344"/>
    <w:rsid w:val="00187B1E"/>
    <w:rsid w:val="00187EF8"/>
    <w:rsid w:val="00193537"/>
    <w:rsid w:val="001A2700"/>
    <w:rsid w:val="001A2CE3"/>
    <w:rsid w:val="001A5608"/>
    <w:rsid w:val="001A6170"/>
    <w:rsid w:val="001A665D"/>
    <w:rsid w:val="001B272A"/>
    <w:rsid w:val="001B3C59"/>
    <w:rsid w:val="001B7F2C"/>
    <w:rsid w:val="001C085C"/>
    <w:rsid w:val="001C491D"/>
    <w:rsid w:val="001D1EC9"/>
    <w:rsid w:val="001D3ED7"/>
    <w:rsid w:val="001D629B"/>
    <w:rsid w:val="001E2193"/>
    <w:rsid w:val="001E7B11"/>
    <w:rsid w:val="00205924"/>
    <w:rsid w:val="00206832"/>
    <w:rsid w:val="002119E4"/>
    <w:rsid w:val="00213A4B"/>
    <w:rsid w:val="00220C65"/>
    <w:rsid w:val="00221149"/>
    <w:rsid w:val="00221BB1"/>
    <w:rsid w:val="00226998"/>
    <w:rsid w:val="00247F16"/>
    <w:rsid w:val="0025107D"/>
    <w:rsid w:val="002537D1"/>
    <w:rsid w:val="00261FAA"/>
    <w:rsid w:val="00264308"/>
    <w:rsid w:val="00265DE3"/>
    <w:rsid w:val="00265F1B"/>
    <w:rsid w:val="00267D05"/>
    <w:rsid w:val="002767BA"/>
    <w:rsid w:val="00280263"/>
    <w:rsid w:val="00280CF5"/>
    <w:rsid w:val="002850CF"/>
    <w:rsid w:val="00285D32"/>
    <w:rsid w:val="00287D35"/>
    <w:rsid w:val="00291630"/>
    <w:rsid w:val="00292920"/>
    <w:rsid w:val="00293D9F"/>
    <w:rsid w:val="00294BAD"/>
    <w:rsid w:val="0029737A"/>
    <w:rsid w:val="002A0174"/>
    <w:rsid w:val="002A0CFF"/>
    <w:rsid w:val="002A1479"/>
    <w:rsid w:val="002A5EDB"/>
    <w:rsid w:val="002B0B42"/>
    <w:rsid w:val="002B1A72"/>
    <w:rsid w:val="002B66D1"/>
    <w:rsid w:val="002B7878"/>
    <w:rsid w:val="002C4112"/>
    <w:rsid w:val="002C4F29"/>
    <w:rsid w:val="002C7BF3"/>
    <w:rsid w:val="002C7F55"/>
    <w:rsid w:val="002D1B51"/>
    <w:rsid w:val="002D2BBE"/>
    <w:rsid w:val="002D3299"/>
    <w:rsid w:val="002D3BCB"/>
    <w:rsid w:val="002D451C"/>
    <w:rsid w:val="002D74F4"/>
    <w:rsid w:val="002D75ED"/>
    <w:rsid w:val="002E134D"/>
    <w:rsid w:val="002E55DF"/>
    <w:rsid w:val="002F7839"/>
    <w:rsid w:val="00303299"/>
    <w:rsid w:val="00313B00"/>
    <w:rsid w:val="00327590"/>
    <w:rsid w:val="00332A9E"/>
    <w:rsid w:val="003431E6"/>
    <w:rsid w:val="003457FC"/>
    <w:rsid w:val="00350630"/>
    <w:rsid w:val="003506EE"/>
    <w:rsid w:val="00352BAA"/>
    <w:rsid w:val="003560D0"/>
    <w:rsid w:val="00357380"/>
    <w:rsid w:val="00360D21"/>
    <w:rsid w:val="003612E2"/>
    <w:rsid w:val="003629EB"/>
    <w:rsid w:val="0036419B"/>
    <w:rsid w:val="0036797E"/>
    <w:rsid w:val="003708F9"/>
    <w:rsid w:val="00373A02"/>
    <w:rsid w:val="00376A3F"/>
    <w:rsid w:val="00380331"/>
    <w:rsid w:val="0038583B"/>
    <w:rsid w:val="00395664"/>
    <w:rsid w:val="003A5B14"/>
    <w:rsid w:val="003A785B"/>
    <w:rsid w:val="003B3D5D"/>
    <w:rsid w:val="003B61EC"/>
    <w:rsid w:val="003C3229"/>
    <w:rsid w:val="003C66CB"/>
    <w:rsid w:val="003D15D3"/>
    <w:rsid w:val="003D1A17"/>
    <w:rsid w:val="003D2EE1"/>
    <w:rsid w:val="003D63C1"/>
    <w:rsid w:val="003D77FA"/>
    <w:rsid w:val="003E335D"/>
    <w:rsid w:val="003E6A43"/>
    <w:rsid w:val="003F2DC7"/>
    <w:rsid w:val="003F3A9C"/>
    <w:rsid w:val="003F4339"/>
    <w:rsid w:val="004026D2"/>
    <w:rsid w:val="0041110A"/>
    <w:rsid w:val="00416A05"/>
    <w:rsid w:val="00424B15"/>
    <w:rsid w:val="00424F4A"/>
    <w:rsid w:val="0042546A"/>
    <w:rsid w:val="00430D5E"/>
    <w:rsid w:val="00436250"/>
    <w:rsid w:val="00441A63"/>
    <w:rsid w:val="00442281"/>
    <w:rsid w:val="00450CF2"/>
    <w:rsid w:val="004513F0"/>
    <w:rsid w:val="0045412B"/>
    <w:rsid w:val="00454A99"/>
    <w:rsid w:val="00454DE8"/>
    <w:rsid w:val="00457D0D"/>
    <w:rsid w:val="004652D1"/>
    <w:rsid w:val="00472F1D"/>
    <w:rsid w:val="00473BDF"/>
    <w:rsid w:val="004745BE"/>
    <w:rsid w:val="0047772A"/>
    <w:rsid w:val="00483F6C"/>
    <w:rsid w:val="00485600"/>
    <w:rsid w:val="00486954"/>
    <w:rsid w:val="004920CB"/>
    <w:rsid w:val="004A204E"/>
    <w:rsid w:val="004B19EC"/>
    <w:rsid w:val="004B29A6"/>
    <w:rsid w:val="004B3638"/>
    <w:rsid w:val="004B5A1C"/>
    <w:rsid w:val="004B74AE"/>
    <w:rsid w:val="004C2726"/>
    <w:rsid w:val="004D2D7F"/>
    <w:rsid w:val="004D5085"/>
    <w:rsid w:val="004D67A0"/>
    <w:rsid w:val="004E119D"/>
    <w:rsid w:val="004E230E"/>
    <w:rsid w:val="004E4DC1"/>
    <w:rsid w:val="004E6EA1"/>
    <w:rsid w:val="004F1AF4"/>
    <w:rsid w:val="004F3B35"/>
    <w:rsid w:val="00500065"/>
    <w:rsid w:val="00505533"/>
    <w:rsid w:val="00516CB8"/>
    <w:rsid w:val="005171A4"/>
    <w:rsid w:val="00520867"/>
    <w:rsid w:val="00521717"/>
    <w:rsid w:val="00521E53"/>
    <w:rsid w:val="005306D2"/>
    <w:rsid w:val="005335FD"/>
    <w:rsid w:val="00537029"/>
    <w:rsid w:val="00540952"/>
    <w:rsid w:val="00543793"/>
    <w:rsid w:val="00543CD1"/>
    <w:rsid w:val="0054550A"/>
    <w:rsid w:val="00545D29"/>
    <w:rsid w:val="00550912"/>
    <w:rsid w:val="00551661"/>
    <w:rsid w:val="00551CFB"/>
    <w:rsid w:val="00554221"/>
    <w:rsid w:val="00561140"/>
    <w:rsid w:val="00562FF4"/>
    <w:rsid w:val="00566F6E"/>
    <w:rsid w:val="00567BEA"/>
    <w:rsid w:val="00574A78"/>
    <w:rsid w:val="00576017"/>
    <w:rsid w:val="0057755A"/>
    <w:rsid w:val="0058613A"/>
    <w:rsid w:val="00587682"/>
    <w:rsid w:val="00592B05"/>
    <w:rsid w:val="00596D0D"/>
    <w:rsid w:val="00596D81"/>
    <w:rsid w:val="005B15DE"/>
    <w:rsid w:val="005B425B"/>
    <w:rsid w:val="005C32F5"/>
    <w:rsid w:val="005C3AAE"/>
    <w:rsid w:val="005C4888"/>
    <w:rsid w:val="005D7D41"/>
    <w:rsid w:val="005E5802"/>
    <w:rsid w:val="005E6917"/>
    <w:rsid w:val="005F1ABB"/>
    <w:rsid w:val="005F1D70"/>
    <w:rsid w:val="005F664A"/>
    <w:rsid w:val="005F75EF"/>
    <w:rsid w:val="0060393F"/>
    <w:rsid w:val="00605675"/>
    <w:rsid w:val="006068B0"/>
    <w:rsid w:val="00613859"/>
    <w:rsid w:val="00614585"/>
    <w:rsid w:val="00622E27"/>
    <w:rsid w:val="00623155"/>
    <w:rsid w:val="006304D6"/>
    <w:rsid w:val="00640674"/>
    <w:rsid w:val="0064340E"/>
    <w:rsid w:val="00664A98"/>
    <w:rsid w:val="006720A0"/>
    <w:rsid w:val="00676B53"/>
    <w:rsid w:val="00677D4D"/>
    <w:rsid w:val="006822BE"/>
    <w:rsid w:val="006879B5"/>
    <w:rsid w:val="00693379"/>
    <w:rsid w:val="006950A2"/>
    <w:rsid w:val="0069772B"/>
    <w:rsid w:val="006B4E47"/>
    <w:rsid w:val="006B5293"/>
    <w:rsid w:val="006B5357"/>
    <w:rsid w:val="006C31C4"/>
    <w:rsid w:val="006C42FA"/>
    <w:rsid w:val="006C57B6"/>
    <w:rsid w:val="006D259E"/>
    <w:rsid w:val="006D6298"/>
    <w:rsid w:val="006D7B29"/>
    <w:rsid w:val="006E13A0"/>
    <w:rsid w:val="006E2F09"/>
    <w:rsid w:val="006F612C"/>
    <w:rsid w:val="006F7022"/>
    <w:rsid w:val="007022B7"/>
    <w:rsid w:val="00705950"/>
    <w:rsid w:val="00714086"/>
    <w:rsid w:val="00721149"/>
    <w:rsid w:val="00723594"/>
    <w:rsid w:val="0072474B"/>
    <w:rsid w:val="00724948"/>
    <w:rsid w:val="007263BB"/>
    <w:rsid w:val="0073175B"/>
    <w:rsid w:val="007317FC"/>
    <w:rsid w:val="0073206D"/>
    <w:rsid w:val="007331D9"/>
    <w:rsid w:val="00735CC7"/>
    <w:rsid w:val="0074266C"/>
    <w:rsid w:val="007520D2"/>
    <w:rsid w:val="00752D0E"/>
    <w:rsid w:val="00752DDB"/>
    <w:rsid w:val="007577C4"/>
    <w:rsid w:val="00757B73"/>
    <w:rsid w:val="0076092F"/>
    <w:rsid w:val="0076685A"/>
    <w:rsid w:val="00770DD1"/>
    <w:rsid w:val="00771AB6"/>
    <w:rsid w:val="007838AA"/>
    <w:rsid w:val="00791692"/>
    <w:rsid w:val="007954D5"/>
    <w:rsid w:val="007B05CD"/>
    <w:rsid w:val="007C0C0B"/>
    <w:rsid w:val="007C2972"/>
    <w:rsid w:val="007C3F72"/>
    <w:rsid w:val="007D73FF"/>
    <w:rsid w:val="007F4BAC"/>
    <w:rsid w:val="007F609F"/>
    <w:rsid w:val="007F712C"/>
    <w:rsid w:val="00804B61"/>
    <w:rsid w:val="008053B4"/>
    <w:rsid w:val="008076C3"/>
    <w:rsid w:val="00810BF4"/>
    <w:rsid w:val="0081711A"/>
    <w:rsid w:val="00817FCA"/>
    <w:rsid w:val="00826192"/>
    <w:rsid w:val="008348CB"/>
    <w:rsid w:val="00844F06"/>
    <w:rsid w:val="00847888"/>
    <w:rsid w:val="00851CEA"/>
    <w:rsid w:val="0085299A"/>
    <w:rsid w:val="00860139"/>
    <w:rsid w:val="0086173E"/>
    <w:rsid w:val="0086623E"/>
    <w:rsid w:val="00870BB3"/>
    <w:rsid w:val="00875E49"/>
    <w:rsid w:val="00877065"/>
    <w:rsid w:val="0087740E"/>
    <w:rsid w:val="00883B58"/>
    <w:rsid w:val="008854B5"/>
    <w:rsid w:val="008964B9"/>
    <w:rsid w:val="008A31E7"/>
    <w:rsid w:val="008A3331"/>
    <w:rsid w:val="008B0B52"/>
    <w:rsid w:val="008B0E11"/>
    <w:rsid w:val="008B18BD"/>
    <w:rsid w:val="008B4BD5"/>
    <w:rsid w:val="008B564C"/>
    <w:rsid w:val="008C2796"/>
    <w:rsid w:val="008C4F3B"/>
    <w:rsid w:val="008C6C6F"/>
    <w:rsid w:val="008C7242"/>
    <w:rsid w:val="008C755A"/>
    <w:rsid w:val="008F0F3C"/>
    <w:rsid w:val="008F1C92"/>
    <w:rsid w:val="008F1F74"/>
    <w:rsid w:val="00901C2D"/>
    <w:rsid w:val="00904B88"/>
    <w:rsid w:val="009074C1"/>
    <w:rsid w:val="009206D2"/>
    <w:rsid w:val="00923270"/>
    <w:rsid w:val="0092574A"/>
    <w:rsid w:val="00943C01"/>
    <w:rsid w:val="00945655"/>
    <w:rsid w:val="00951B19"/>
    <w:rsid w:val="00956B5D"/>
    <w:rsid w:val="00957EE6"/>
    <w:rsid w:val="009625FE"/>
    <w:rsid w:val="00976D4D"/>
    <w:rsid w:val="009777D4"/>
    <w:rsid w:val="00977A49"/>
    <w:rsid w:val="0098052F"/>
    <w:rsid w:val="00980C10"/>
    <w:rsid w:val="00983A1E"/>
    <w:rsid w:val="0098645A"/>
    <w:rsid w:val="009A13E9"/>
    <w:rsid w:val="009A3FE4"/>
    <w:rsid w:val="009A420D"/>
    <w:rsid w:val="009A446C"/>
    <w:rsid w:val="009A73AA"/>
    <w:rsid w:val="009B0C28"/>
    <w:rsid w:val="009B3B2B"/>
    <w:rsid w:val="009B3F77"/>
    <w:rsid w:val="009B74AE"/>
    <w:rsid w:val="009C27D3"/>
    <w:rsid w:val="009C5758"/>
    <w:rsid w:val="009C6C91"/>
    <w:rsid w:val="009D2567"/>
    <w:rsid w:val="009D7586"/>
    <w:rsid w:val="009E0A5C"/>
    <w:rsid w:val="009E5BB3"/>
    <w:rsid w:val="009E6764"/>
    <w:rsid w:val="009F143F"/>
    <w:rsid w:val="00A00045"/>
    <w:rsid w:val="00A01237"/>
    <w:rsid w:val="00A029AB"/>
    <w:rsid w:val="00A02FF5"/>
    <w:rsid w:val="00A039FD"/>
    <w:rsid w:val="00A0425A"/>
    <w:rsid w:val="00A07A52"/>
    <w:rsid w:val="00A1306D"/>
    <w:rsid w:val="00A26E01"/>
    <w:rsid w:val="00A27569"/>
    <w:rsid w:val="00A35518"/>
    <w:rsid w:val="00A37431"/>
    <w:rsid w:val="00A376BE"/>
    <w:rsid w:val="00A42AE9"/>
    <w:rsid w:val="00A453C8"/>
    <w:rsid w:val="00A50829"/>
    <w:rsid w:val="00A66497"/>
    <w:rsid w:val="00A666B7"/>
    <w:rsid w:val="00A678AE"/>
    <w:rsid w:val="00A7053A"/>
    <w:rsid w:val="00A71557"/>
    <w:rsid w:val="00A77241"/>
    <w:rsid w:val="00A8210F"/>
    <w:rsid w:val="00A821FA"/>
    <w:rsid w:val="00A8274C"/>
    <w:rsid w:val="00A83DFC"/>
    <w:rsid w:val="00A84D2A"/>
    <w:rsid w:val="00A8726A"/>
    <w:rsid w:val="00A95DA1"/>
    <w:rsid w:val="00AA0E1E"/>
    <w:rsid w:val="00AA60CF"/>
    <w:rsid w:val="00AA61A1"/>
    <w:rsid w:val="00AA6434"/>
    <w:rsid w:val="00AB34A0"/>
    <w:rsid w:val="00AB4FA9"/>
    <w:rsid w:val="00AB5E57"/>
    <w:rsid w:val="00AC029B"/>
    <w:rsid w:val="00AC4C46"/>
    <w:rsid w:val="00AC66DC"/>
    <w:rsid w:val="00AC6D7E"/>
    <w:rsid w:val="00AD369C"/>
    <w:rsid w:val="00AD4F07"/>
    <w:rsid w:val="00AE0776"/>
    <w:rsid w:val="00AE14AA"/>
    <w:rsid w:val="00AE6899"/>
    <w:rsid w:val="00B03E52"/>
    <w:rsid w:val="00B17E4A"/>
    <w:rsid w:val="00B20506"/>
    <w:rsid w:val="00B27AF7"/>
    <w:rsid w:val="00B33664"/>
    <w:rsid w:val="00B35C72"/>
    <w:rsid w:val="00B5332B"/>
    <w:rsid w:val="00B5387B"/>
    <w:rsid w:val="00B6662E"/>
    <w:rsid w:val="00B867DE"/>
    <w:rsid w:val="00B86F01"/>
    <w:rsid w:val="00B92B60"/>
    <w:rsid w:val="00B945FD"/>
    <w:rsid w:val="00B94BA5"/>
    <w:rsid w:val="00B9799D"/>
    <w:rsid w:val="00BA3E8D"/>
    <w:rsid w:val="00BC1CB8"/>
    <w:rsid w:val="00BC686D"/>
    <w:rsid w:val="00BD4667"/>
    <w:rsid w:val="00BD574F"/>
    <w:rsid w:val="00BD5F01"/>
    <w:rsid w:val="00BD6795"/>
    <w:rsid w:val="00BE0DCA"/>
    <w:rsid w:val="00BE0F30"/>
    <w:rsid w:val="00BE36EE"/>
    <w:rsid w:val="00BF29C9"/>
    <w:rsid w:val="00BF73BD"/>
    <w:rsid w:val="00C05589"/>
    <w:rsid w:val="00C05BC4"/>
    <w:rsid w:val="00C207D3"/>
    <w:rsid w:val="00C2081D"/>
    <w:rsid w:val="00C21720"/>
    <w:rsid w:val="00C21862"/>
    <w:rsid w:val="00C239E0"/>
    <w:rsid w:val="00C2781C"/>
    <w:rsid w:val="00C33629"/>
    <w:rsid w:val="00C41509"/>
    <w:rsid w:val="00C4580B"/>
    <w:rsid w:val="00C51FA2"/>
    <w:rsid w:val="00C53BB5"/>
    <w:rsid w:val="00C5509A"/>
    <w:rsid w:val="00C62316"/>
    <w:rsid w:val="00C63291"/>
    <w:rsid w:val="00C646F1"/>
    <w:rsid w:val="00C67E59"/>
    <w:rsid w:val="00C76518"/>
    <w:rsid w:val="00C76CAA"/>
    <w:rsid w:val="00C76F6A"/>
    <w:rsid w:val="00C77278"/>
    <w:rsid w:val="00C7756C"/>
    <w:rsid w:val="00C80E1C"/>
    <w:rsid w:val="00C90D70"/>
    <w:rsid w:val="00C93111"/>
    <w:rsid w:val="00C9480A"/>
    <w:rsid w:val="00CA0358"/>
    <w:rsid w:val="00CA0AD9"/>
    <w:rsid w:val="00CA171F"/>
    <w:rsid w:val="00CA393C"/>
    <w:rsid w:val="00CB1002"/>
    <w:rsid w:val="00CB3682"/>
    <w:rsid w:val="00CB4CD3"/>
    <w:rsid w:val="00CC16AC"/>
    <w:rsid w:val="00CD05DF"/>
    <w:rsid w:val="00CD47E7"/>
    <w:rsid w:val="00CD5145"/>
    <w:rsid w:val="00CD7E35"/>
    <w:rsid w:val="00CE0FC3"/>
    <w:rsid w:val="00CF166D"/>
    <w:rsid w:val="00CF1EC9"/>
    <w:rsid w:val="00D00D11"/>
    <w:rsid w:val="00D013DB"/>
    <w:rsid w:val="00D14BC4"/>
    <w:rsid w:val="00D20EFB"/>
    <w:rsid w:val="00D24A7C"/>
    <w:rsid w:val="00D25082"/>
    <w:rsid w:val="00D27825"/>
    <w:rsid w:val="00D31926"/>
    <w:rsid w:val="00D324F1"/>
    <w:rsid w:val="00D3402C"/>
    <w:rsid w:val="00D3695C"/>
    <w:rsid w:val="00D375E3"/>
    <w:rsid w:val="00D3767E"/>
    <w:rsid w:val="00D41340"/>
    <w:rsid w:val="00D43D4D"/>
    <w:rsid w:val="00D46BF6"/>
    <w:rsid w:val="00D526E7"/>
    <w:rsid w:val="00D5459E"/>
    <w:rsid w:val="00D545DB"/>
    <w:rsid w:val="00D56BFD"/>
    <w:rsid w:val="00D65A37"/>
    <w:rsid w:val="00D67471"/>
    <w:rsid w:val="00D67C2C"/>
    <w:rsid w:val="00D74929"/>
    <w:rsid w:val="00D76E64"/>
    <w:rsid w:val="00D7723E"/>
    <w:rsid w:val="00D8274F"/>
    <w:rsid w:val="00D8551B"/>
    <w:rsid w:val="00D9073D"/>
    <w:rsid w:val="00D916E7"/>
    <w:rsid w:val="00D935BB"/>
    <w:rsid w:val="00DA429E"/>
    <w:rsid w:val="00DA5D1A"/>
    <w:rsid w:val="00DC3BFE"/>
    <w:rsid w:val="00DC5D01"/>
    <w:rsid w:val="00DC7C9B"/>
    <w:rsid w:val="00DD2CED"/>
    <w:rsid w:val="00DD7A3E"/>
    <w:rsid w:val="00DE172E"/>
    <w:rsid w:val="00DE4053"/>
    <w:rsid w:val="00DE6A69"/>
    <w:rsid w:val="00E01522"/>
    <w:rsid w:val="00E02763"/>
    <w:rsid w:val="00E03D03"/>
    <w:rsid w:val="00E13B55"/>
    <w:rsid w:val="00E16A90"/>
    <w:rsid w:val="00E21ADF"/>
    <w:rsid w:val="00E2318F"/>
    <w:rsid w:val="00E515BF"/>
    <w:rsid w:val="00E54204"/>
    <w:rsid w:val="00E5515E"/>
    <w:rsid w:val="00E56BA2"/>
    <w:rsid w:val="00E60664"/>
    <w:rsid w:val="00E6134D"/>
    <w:rsid w:val="00E630B8"/>
    <w:rsid w:val="00E67A2D"/>
    <w:rsid w:val="00E72AC0"/>
    <w:rsid w:val="00E74055"/>
    <w:rsid w:val="00E77065"/>
    <w:rsid w:val="00E8285A"/>
    <w:rsid w:val="00E82CDD"/>
    <w:rsid w:val="00E83675"/>
    <w:rsid w:val="00E85BE0"/>
    <w:rsid w:val="00EA023E"/>
    <w:rsid w:val="00EA2848"/>
    <w:rsid w:val="00EA2E4B"/>
    <w:rsid w:val="00EA3498"/>
    <w:rsid w:val="00EA45B7"/>
    <w:rsid w:val="00EA5C18"/>
    <w:rsid w:val="00EB4410"/>
    <w:rsid w:val="00EB7154"/>
    <w:rsid w:val="00EC0828"/>
    <w:rsid w:val="00EC33AE"/>
    <w:rsid w:val="00ED291D"/>
    <w:rsid w:val="00ED3FB3"/>
    <w:rsid w:val="00EE1F43"/>
    <w:rsid w:val="00EE2121"/>
    <w:rsid w:val="00EE79B9"/>
    <w:rsid w:val="00F0137A"/>
    <w:rsid w:val="00F02D3B"/>
    <w:rsid w:val="00F04D24"/>
    <w:rsid w:val="00F115A2"/>
    <w:rsid w:val="00F1595D"/>
    <w:rsid w:val="00F20BC2"/>
    <w:rsid w:val="00F22A8C"/>
    <w:rsid w:val="00F42E3D"/>
    <w:rsid w:val="00F47A60"/>
    <w:rsid w:val="00F50D1A"/>
    <w:rsid w:val="00F51C86"/>
    <w:rsid w:val="00F52AF8"/>
    <w:rsid w:val="00F66311"/>
    <w:rsid w:val="00F66DBD"/>
    <w:rsid w:val="00F67C47"/>
    <w:rsid w:val="00F7635D"/>
    <w:rsid w:val="00F82CDA"/>
    <w:rsid w:val="00F8563B"/>
    <w:rsid w:val="00F86196"/>
    <w:rsid w:val="00F915B2"/>
    <w:rsid w:val="00FA2722"/>
    <w:rsid w:val="00FA4F3E"/>
    <w:rsid w:val="00FA7F0D"/>
    <w:rsid w:val="00FB7D6A"/>
    <w:rsid w:val="00FC00B2"/>
    <w:rsid w:val="00FC5A81"/>
    <w:rsid w:val="00FC758C"/>
    <w:rsid w:val="00FD06D6"/>
    <w:rsid w:val="00FD30DE"/>
    <w:rsid w:val="00FD5684"/>
    <w:rsid w:val="00FD5A4B"/>
    <w:rsid w:val="00FE1EA5"/>
    <w:rsid w:val="00FE3C60"/>
    <w:rsid w:val="00FE50E3"/>
    <w:rsid w:val="00FE6080"/>
    <w:rsid w:val="00FE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FCD31"/>
  <w15:docId w15:val="{A99B530B-D5D4-431E-88B0-A59AAA81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E47"/>
    <w:rPr>
      <w:sz w:val="24"/>
      <w:szCs w:val="24"/>
      <w:lang w:eastAsia="en-US"/>
    </w:rPr>
  </w:style>
  <w:style w:type="paragraph" w:styleId="Heading1">
    <w:name w:val="heading 1"/>
    <w:basedOn w:val="Normal"/>
    <w:next w:val="Normal"/>
    <w:qFormat/>
    <w:rsid w:val="006B4E47"/>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B4E47"/>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6B4E47"/>
    <w:pPr>
      <w:keepNext/>
      <w:numPr>
        <w:ilvl w:val="2"/>
        <w:numId w:val="6"/>
      </w:numPr>
      <w:tabs>
        <w:tab w:val="num" w:pos="720"/>
      </w:tabs>
      <w:spacing w:before="240" w:after="60"/>
      <w:ind w:left="720"/>
      <w:outlineLvl w:val="2"/>
    </w:pPr>
    <w:rPr>
      <w:rFonts w:ascii="Arial" w:hAnsi="Arial" w:cs="Arial"/>
      <w:b/>
      <w:bCs/>
      <w:sz w:val="26"/>
      <w:szCs w:val="26"/>
    </w:rPr>
  </w:style>
  <w:style w:type="paragraph" w:styleId="Heading4">
    <w:name w:val="heading 4"/>
    <w:basedOn w:val="Normal"/>
    <w:next w:val="Normal"/>
    <w:qFormat/>
    <w:rsid w:val="006B4E47"/>
    <w:pPr>
      <w:keepNext/>
      <w:numPr>
        <w:ilvl w:val="3"/>
        <w:numId w:val="6"/>
      </w:numPr>
      <w:spacing w:before="240" w:after="60"/>
      <w:outlineLvl w:val="3"/>
    </w:pPr>
    <w:rPr>
      <w:b/>
      <w:bCs/>
      <w:sz w:val="28"/>
      <w:szCs w:val="28"/>
    </w:rPr>
  </w:style>
  <w:style w:type="paragraph" w:styleId="Heading5">
    <w:name w:val="heading 5"/>
    <w:basedOn w:val="Normal"/>
    <w:next w:val="Normal"/>
    <w:qFormat/>
    <w:rsid w:val="006B4E47"/>
    <w:pPr>
      <w:numPr>
        <w:ilvl w:val="4"/>
        <w:numId w:val="6"/>
      </w:numPr>
      <w:spacing w:before="240" w:after="60"/>
      <w:outlineLvl w:val="4"/>
    </w:pPr>
    <w:rPr>
      <w:b/>
      <w:bCs/>
      <w:i/>
      <w:iCs/>
      <w:sz w:val="26"/>
      <w:szCs w:val="26"/>
    </w:rPr>
  </w:style>
  <w:style w:type="paragraph" w:styleId="Heading6">
    <w:name w:val="heading 6"/>
    <w:basedOn w:val="Normal"/>
    <w:next w:val="Normal"/>
    <w:qFormat/>
    <w:rsid w:val="006B4E47"/>
    <w:pPr>
      <w:numPr>
        <w:ilvl w:val="5"/>
        <w:numId w:val="6"/>
      </w:numPr>
      <w:spacing w:before="240" w:after="60"/>
      <w:outlineLvl w:val="5"/>
    </w:pPr>
    <w:rPr>
      <w:b/>
      <w:bCs/>
      <w:sz w:val="22"/>
      <w:szCs w:val="22"/>
    </w:rPr>
  </w:style>
  <w:style w:type="paragraph" w:styleId="Heading7">
    <w:name w:val="heading 7"/>
    <w:basedOn w:val="Normal"/>
    <w:next w:val="Normal"/>
    <w:qFormat/>
    <w:rsid w:val="006B4E47"/>
    <w:pPr>
      <w:numPr>
        <w:ilvl w:val="6"/>
        <w:numId w:val="6"/>
      </w:numPr>
      <w:spacing w:before="240" w:after="60"/>
      <w:outlineLvl w:val="6"/>
    </w:pPr>
  </w:style>
  <w:style w:type="paragraph" w:styleId="Heading8">
    <w:name w:val="heading 8"/>
    <w:basedOn w:val="Normal"/>
    <w:next w:val="Normal"/>
    <w:qFormat/>
    <w:rsid w:val="006B4E47"/>
    <w:pPr>
      <w:numPr>
        <w:ilvl w:val="7"/>
        <w:numId w:val="6"/>
      </w:numPr>
      <w:spacing w:before="240" w:after="60"/>
      <w:outlineLvl w:val="7"/>
    </w:pPr>
    <w:rPr>
      <w:i/>
      <w:iCs/>
    </w:rPr>
  </w:style>
  <w:style w:type="paragraph" w:styleId="Heading9">
    <w:name w:val="heading 9"/>
    <w:basedOn w:val="Normal"/>
    <w:next w:val="Normal"/>
    <w:qFormat/>
    <w:rsid w:val="006B4E47"/>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stllinn">
    <w:name w:val="ThIstíllinn"/>
    <w:basedOn w:val="Normal"/>
    <w:rsid w:val="006B4E47"/>
    <w:pPr>
      <w:spacing w:line="280" w:lineRule="atLeast"/>
      <w:jc w:val="both"/>
    </w:pPr>
    <w:rPr>
      <w:rFonts w:ascii="Arial" w:hAnsi="Arial"/>
      <w:i/>
      <w:color w:val="FF0000"/>
      <w:sz w:val="20"/>
      <w:szCs w:val="20"/>
      <w:lang w:val="da-DK"/>
    </w:rPr>
  </w:style>
  <w:style w:type="paragraph" w:styleId="BodyTextIndent">
    <w:name w:val="Body Text Indent"/>
    <w:basedOn w:val="Normal"/>
    <w:semiHidden/>
    <w:rsid w:val="006B4E47"/>
    <w:pPr>
      <w:spacing w:before="120"/>
      <w:ind w:left="720"/>
    </w:pPr>
  </w:style>
  <w:style w:type="paragraph" w:styleId="BodyText">
    <w:name w:val="Body Text"/>
    <w:basedOn w:val="Normal"/>
    <w:semiHidden/>
    <w:rsid w:val="006B4E47"/>
    <w:pPr>
      <w:spacing w:before="120"/>
    </w:pPr>
    <w:rPr>
      <w:b/>
      <w:bCs/>
    </w:rPr>
  </w:style>
  <w:style w:type="paragraph" w:styleId="Footer">
    <w:name w:val="footer"/>
    <w:basedOn w:val="Normal"/>
    <w:semiHidden/>
    <w:rsid w:val="006B4E47"/>
    <w:pPr>
      <w:tabs>
        <w:tab w:val="center" w:pos="4153"/>
        <w:tab w:val="right" w:pos="8306"/>
      </w:tabs>
    </w:pPr>
  </w:style>
  <w:style w:type="character" w:styleId="PageNumber">
    <w:name w:val="page number"/>
    <w:basedOn w:val="DefaultParagraphFont"/>
    <w:semiHidden/>
    <w:rsid w:val="006B4E47"/>
  </w:style>
  <w:style w:type="paragraph" w:styleId="Header">
    <w:name w:val="header"/>
    <w:basedOn w:val="Normal"/>
    <w:semiHidden/>
    <w:rsid w:val="006B4E47"/>
    <w:pPr>
      <w:tabs>
        <w:tab w:val="center" w:pos="4153"/>
        <w:tab w:val="right" w:pos="8306"/>
      </w:tabs>
    </w:pPr>
  </w:style>
  <w:style w:type="paragraph" w:styleId="Title">
    <w:name w:val="Title"/>
    <w:basedOn w:val="Normal"/>
    <w:link w:val="TitleChar"/>
    <w:qFormat/>
    <w:rsid w:val="00566F6E"/>
    <w:pPr>
      <w:jc w:val="center"/>
    </w:pPr>
    <w:rPr>
      <w:b/>
      <w:bCs/>
      <w:lang w:val="nb-NO" w:eastAsia="nb-NO"/>
    </w:rPr>
  </w:style>
  <w:style w:type="character" w:customStyle="1" w:styleId="TitleChar">
    <w:name w:val="Title Char"/>
    <w:basedOn w:val="DefaultParagraphFont"/>
    <w:link w:val="Title"/>
    <w:rsid w:val="00566F6E"/>
    <w:rPr>
      <w:b/>
      <w:bCs/>
      <w:sz w:val="24"/>
      <w:szCs w:val="24"/>
      <w:lang w:val="nb-NO" w:eastAsia="nb-NO"/>
    </w:rPr>
  </w:style>
  <w:style w:type="paragraph" w:customStyle="1" w:styleId="Merknad">
    <w:name w:val="Merknad"/>
    <w:basedOn w:val="BodyText"/>
    <w:rsid w:val="00566F6E"/>
    <w:pPr>
      <w:tabs>
        <w:tab w:val="left" w:pos="1701"/>
      </w:tabs>
      <w:spacing w:before="0" w:after="120"/>
      <w:ind w:left="284"/>
    </w:pPr>
    <w:rPr>
      <w:rFonts w:ascii="Arial" w:hAnsi="Arial"/>
      <w:b w:val="0"/>
      <w:bCs w:val="0"/>
      <w:snapToGrid w:val="0"/>
      <w:sz w:val="18"/>
      <w:szCs w:val="20"/>
      <w:lang w:val="nb-NO" w:eastAsia="nb-NO"/>
    </w:rPr>
  </w:style>
  <w:style w:type="table" w:styleId="TableGrid">
    <w:name w:val="Table Grid"/>
    <w:basedOn w:val="TableNormal"/>
    <w:uiPriority w:val="59"/>
    <w:rsid w:val="004D508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1E2193"/>
    <w:rPr>
      <w:sz w:val="20"/>
      <w:szCs w:val="20"/>
    </w:rPr>
  </w:style>
  <w:style w:type="character" w:customStyle="1" w:styleId="FootnoteTextChar">
    <w:name w:val="Footnote Text Char"/>
    <w:basedOn w:val="DefaultParagraphFont"/>
    <w:link w:val="FootnoteText"/>
    <w:rsid w:val="001E2193"/>
  </w:style>
  <w:style w:type="character" w:styleId="FootnoteReference">
    <w:name w:val="footnote reference"/>
    <w:basedOn w:val="DefaultParagraphFont"/>
    <w:uiPriority w:val="99"/>
    <w:semiHidden/>
    <w:unhideWhenUsed/>
    <w:rsid w:val="001E2193"/>
    <w:rPr>
      <w:vertAlign w:val="superscript"/>
    </w:rPr>
  </w:style>
  <w:style w:type="paragraph" w:styleId="TOCHeading">
    <w:name w:val="TOC Heading"/>
    <w:basedOn w:val="Heading1"/>
    <w:next w:val="Normal"/>
    <w:uiPriority w:val="39"/>
    <w:semiHidden/>
    <w:unhideWhenUsed/>
    <w:qFormat/>
    <w:rsid w:val="00F66DBD"/>
    <w:pPr>
      <w:keepLines/>
      <w:numPr>
        <w:numId w:val="0"/>
      </w:numPr>
      <w:spacing w:before="480" w:after="0" w:line="276" w:lineRule="auto"/>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unhideWhenUsed/>
    <w:rsid w:val="00F66DBD"/>
    <w:pPr>
      <w:tabs>
        <w:tab w:val="right" w:leader="dot" w:pos="8296"/>
      </w:tabs>
    </w:pPr>
    <w:rPr>
      <w:noProof/>
    </w:rPr>
  </w:style>
  <w:style w:type="paragraph" w:styleId="TOC1">
    <w:name w:val="toc 1"/>
    <w:basedOn w:val="Normal"/>
    <w:next w:val="Normal"/>
    <w:autoRedefine/>
    <w:uiPriority w:val="39"/>
    <w:unhideWhenUsed/>
    <w:rsid w:val="00F66DBD"/>
  </w:style>
  <w:style w:type="paragraph" w:styleId="TOC3">
    <w:name w:val="toc 3"/>
    <w:basedOn w:val="Normal"/>
    <w:next w:val="Normal"/>
    <w:autoRedefine/>
    <w:uiPriority w:val="39"/>
    <w:unhideWhenUsed/>
    <w:rsid w:val="00F66DBD"/>
    <w:pPr>
      <w:ind w:left="480"/>
    </w:pPr>
  </w:style>
  <w:style w:type="character" w:styleId="Hyperlink">
    <w:name w:val="Hyperlink"/>
    <w:basedOn w:val="DefaultParagraphFont"/>
    <w:uiPriority w:val="99"/>
    <w:unhideWhenUsed/>
    <w:rsid w:val="00F66DBD"/>
    <w:rPr>
      <w:color w:val="0000FF"/>
      <w:u w:val="single"/>
    </w:rPr>
  </w:style>
  <w:style w:type="paragraph" w:styleId="BodyTextIndent2">
    <w:name w:val="Body Text Indent 2"/>
    <w:basedOn w:val="Normal"/>
    <w:link w:val="BodyTextIndent2Char"/>
    <w:uiPriority w:val="99"/>
    <w:semiHidden/>
    <w:unhideWhenUsed/>
    <w:rsid w:val="001D3ED7"/>
    <w:pPr>
      <w:spacing w:after="120" w:line="480" w:lineRule="auto"/>
      <w:ind w:left="283"/>
    </w:pPr>
  </w:style>
  <w:style w:type="character" w:customStyle="1" w:styleId="BodyTextIndent2Char">
    <w:name w:val="Body Text Indent 2 Char"/>
    <w:basedOn w:val="DefaultParagraphFont"/>
    <w:link w:val="BodyTextIndent2"/>
    <w:uiPriority w:val="99"/>
    <w:semiHidden/>
    <w:rsid w:val="001D3ED7"/>
    <w:rPr>
      <w:sz w:val="24"/>
      <w:szCs w:val="24"/>
      <w:lang w:val="en-US" w:eastAsia="en-US"/>
    </w:rPr>
  </w:style>
  <w:style w:type="character" w:styleId="CommentReference">
    <w:name w:val="annotation reference"/>
    <w:basedOn w:val="DefaultParagraphFont"/>
    <w:semiHidden/>
    <w:rsid w:val="001D3ED7"/>
    <w:rPr>
      <w:sz w:val="16"/>
      <w:szCs w:val="16"/>
    </w:rPr>
  </w:style>
  <w:style w:type="paragraph" w:styleId="CommentText">
    <w:name w:val="annotation text"/>
    <w:basedOn w:val="Normal"/>
    <w:link w:val="CommentTextChar"/>
    <w:semiHidden/>
    <w:rsid w:val="001D3ED7"/>
    <w:rPr>
      <w:sz w:val="20"/>
      <w:szCs w:val="20"/>
    </w:rPr>
  </w:style>
  <w:style w:type="character" w:customStyle="1" w:styleId="CommentTextChar">
    <w:name w:val="Comment Text Char"/>
    <w:basedOn w:val="DefaultParagraphFont"/>
    <w:link w:val="CommentText"/>
    <w:semiHidden/>
    <w:rsid w:val="001D3ED7"/>
    <w:rPr>
      <w:lang w:eastAsia="en-US"/>
    </w:rPr>
  </w:style>
  <w:style w:type="paragraph" w:styleId="CommentSubject">
    <w:name w:val="annotation subject"/>
    <w:basedOn w:val="CommentText"/>
    <w:next w:val="CommentText"/>
    <w:link w:val="CommentSubjectChar"/>
    <w:uiPriority w:val="99"/>
    <w:semiHidden/>
    <w:unhideWhenUsed/>
    <w:rsid w:val="001533EF"/>
    <w:rPr>
      <w:b/>
      <w:bCs/>
    </w:rPr>
  </w:style>
  <w:style w:type="character" w:customStyle="1" w:styleId="CommentSubjectChar">
    <w:name w:val="Comment Subject Char"/>
    <w:basedOn w:val="CommentTextChar"/>
    <w:link w:val="CommentSubject"/>
    <w:uiPriority w:val="99"/>
    <w:semiHidden/>
    <w:rsid w:val="001533EF"/>
    <w:rPr>
      <w:b/>
      <w:bCs/>
      <w:lang w:eastAsia="en-US"/>
    </w:rPr>
  </w:style>
  <w:style w:type="paragraph" w:styleId="Revision">
    <w:name w:val="Revision"/>
    <w:hidden/>
    <w:uiPriority w:val="99"/>
    <w:semiHidden/>
    <w:rsid w:val="001533EF"/>
    <w:rPr>
      <w:sz w:val="24"/>
      <w:szCs w:val="24"/>
      <w:lang w:eastAsia="en-US"/>
    </w:rPr>
  </w:style>
  <w:style w:type="paragraph" w:styleId="BalloonText">
    <w:name w:val="Balloon Text"/>
    <w:basedOn w:val="Normal"/>
    <w:link w:val="BalloonTextChar"/>
    <w:uiPriority w:val="99"/>
    <w:semiHidden/>
    <w:unhideWhenUsed/>
    <w:rsid w:val="001533EF"/>
    <w:rPr>
      <w:rFonts w:ascii="Tahoma" w:hAnsi="Tahoma" w:cs="Tahoma"/>
      <w:sz w:val="16"/>
      <w:szCs w:val="16"/>
    </w:rPr>
  </w:style>
  <w:style w:type="character" w:customStyle="1" w:styleId="BalloonTextChar">
    <w:name w:val="Balloon Text Char"/>
    <w:basedOn w:val="DefaultParagraphFont"/>
    <w:link w:val="BalloonText"/>
    <w:uiPriority w:val="99"/>
    <w:semiHidden/>
    <w:rsid w:val="001533EF"/>
    <w:rPr>
      <w:rFonts w:ascii="Tahoma" w:hAnsi="Tahoma" w:cs="Tahoma"/>
      <w:sz w:val="16"/>
      <w:szCs w:val="16"/>
      <w:lang w:eastAsia="en-US"/>
    </w:rPr>
  </w:style>
  <w:style w:type="character" w:customStyle="1" w:styleId="FootnoteTextChar2">
    <w:name w:val="Footnote Text Char2"/>
    <w:basedOn w:val="DefaultParagraphFont"/>
    <w:uiPriority w:val="99"/>
    <w:semiHidden/>
    <w:locked/>
    <w:rsid w:val="00CD47E7"/>
    <w:rPr>
      <w:sz w:val="20"/>
      <w:szCs w:val="20"/>
    </w:rPr>
  </w:style>
  <w:style w:type="paragraph" w:styleId="Caption">
    <w:name w:val="caption"/>
    <w:basedOn w:val="Normal"/>
    <w:next w:val="Normal"/>
    <w:qFormat/>
    <w:rsid w:val="007317FC"/>
    <w:pPr>
      <w:spacing w:before="120" w:after="120"/>
    </w:pPr>
    <w:rPr>
      <w:b/>
      <w:bCs/>
      <w:sz w:val="20"/>
      <w:szCs w:val="20"/>
    </w:rPr>
  </w:style>
  <w:style w:type="paragraph" w:customStyle="1" w:styleId="Default">
    <w:name w:val="Default"/>
    <w:rsid w:val="00395664"/>
    <w:pPr>
      <w:autoSpaceDE w:val="0"/>
      <w:autoSpaceDN w:val="0"/>
      <w:adjustRightInd w:val="0"/>
    </w:pPr>
    <w:rPr>
      <w:rFonts w:ascii="Arial" w:hAnsi="Arial" w:cs="Arial"/>
      <w:color w:val="000000"/>
      <w:sz w:val="24"/>
      <w:szCs w:val="24"/>
    </w:rPr>
  </w:style>
  <w:style w:type="paragraph" w:customStyle="1" w:styleId="Tablefootnote">
    <w:name w:val="Table footnote"/>
    <w:basedOn w:val="Normal"/>
    <w:rsid w:val="00DE6A69"/>
    <w:pPr>
      <w:tabs>
        <w:tab w:val="left" w:pos="340"/>
      </w:tabs>
      <w:spacing w:before="60" w:after="60" w:line="190" w:lineRule="atLeast"/>
      <w:jc w:val="both"/>
    </w:pPr>
    <w:rPr>
      <w:rFonts w:ascii="Arial" w:eastAsia="MS Mincho" w:hAnsi="Arial"/>
      <w:sz w:val="16"/>
      <w:szCs w:val="20"/>
      <w:lang w:val="en-GB" w:eastAsia="ja-JP"/>
    </w:rPr>
  </w:style>
  <w:style w:type="character" w:customStyle="1" w:styleId="TableFootNoteXref">
    <w:name w:val="TableFootNoteXref"/>
    <w:rsid w:val="00DE6A69"/>
    <w:rPr>
      <w:noProof/>
      <w:position w:val="6"/>
      <w:sz w:val="14"/>
      <w:lang w:val="fr-FR"/>
    </w:rPr>
  </w:style>
  <w:style w:type="paragraph" w:customStyle="1" w:styleId="Tabletext9">
    <w:name w:val="Table text (9)"/>
    <w:basedOn w:val="Normal"/>
    <w:rsid w:val="00DE6A69"/>
    <w:pPr>
      <w:spacing w:before="60" w:after="60" w:line="210" w:lineRule="atLeast"/>
      <w:jc w:val="both"/>
    </w:pPr>
    <w:rPr>
      <w:rFonts w:ascii="Arial" w:eastAsia="MS Mincho" w:hAnsi="Arial"/>
      <w:sz w:val="18"/>
      <w:szCs w:val="20"/>
      <w:lang w:val="en-GB" w:eastAsia="ja-JP"/>
    </w:rPr>
  </w:style>
  <w:style w:type="paragraph" w:styleId="ListParagraph">
    <w:name w:val="List Paragraph"/>
    <w:basedOn w:val="Normal"/>
    <w:uiPriority w:val="34"/>
    <w:qFormat/>
    <w:rsid w:val="00FB7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5816">
      <w:bodyDiv w:val="1"/>
      <w:marLeft w:val="0"/>
      <w:marRight w:val="0"/>
      <w:marTop w:val="0"/>
      <w:marBottom w:val="0"/>
      <w:divBdr>
        <w:top w:val="none" w:sz="0" w:space="0" w:color="auto"/>
        <w:left w:val="none" w:sz="0" w:space="0" w:color="auto"/>
        <w:bottom w:val="none" w:sz="0" w:space="0" w:color="auto"/>
        <w:right w:val="none" w:sz="0" w:space="0" w:color="auto"/>
      </w:divBdr>
    </w:div>
    <w:div w:id="1846701299">
      <w:bodyDiv w:val="1"/>
      <w:marLeft w:val="0"/>
      <w:marRight w:val="0"/>
      <w:marTop w:val="0"/>
      <w:marBottom w:val="0"/>
      <w:divBdr>
        <w:top w:val="none" w:sz="0" w:space="0" w:color="auto"/>
        <w:left w:val="none" w:sz="0" w:space="0" w:color="auto"/>
        <w:bottom w:val="none" w:sz="0" w:space="0" w:color="auto"/>
        <w:right w:val="none" w:sz="0" w:space="0" w:color="auto"/>
      </w:divBdr>
    </w:div>
    <w:div w:id="19389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7423-EFC6-448E-9FA9-501F8585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4976</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Viðauki 4: Almennar frávikskröfur</vt:lpstr>
    </vt:vector>
  </TitlesOfParts>
  <Company>Dell Computer Corporation</Company>
  <LinksUpToDate>false</LinksUpToDate>
  <CharactersWithSpaces>33277</CharactersWithSpaces>
  <SharedDoc>false</SharedDoc>
  <HLinks>
    <vt:vector size="84" baseType="variant">
      <vt:variant>
        <vt:i4>1441845</vt:i4>
      </vt:variant>
      <vt:variant>
        <vt:i4>80</vt:i4>
      </vt:variant>
      <vt:variant>
        <vt:i4>0</vt:i4>
      </vt:variant>
      <vt:variant>
        <vt:i4>5</vt:i4>
      </vt:variant>
      <vt:variant>
        <vt:lpwstr/>
      </vt:variant>
      <vt:variant>
        <vt:lpwstr>_Toc273706478</vt:lpwstr>
      </vt:variant>
      <vt:variant>
        <vt:i4>1441845</vt:i4>
      </vt:variant>
      <vt:variant>
        <vt:i4>74</vt:i4>
      </vt:variant>
      <vt:variant>
        <vt:i4>0</vt:i4>
      </vt:variant>
      <vt:variant>
        <vt:i4>5</vt:i4>
      </vt:variant>
      <vt:variant>
        <vt:lpwstr/>
      </vt:variant>
      <vt:variant>
        <vt:lpwstr>_Toc273706477</vt:lpwstr>
      </vt:variant>
      <vt:variant>
        <vt:i4>1441845</vt:i4>
      </vt:variant>
      <vt:variant>
        <vt:i4>68</vt:i4>
      </vt:variant>
      <vt:variant>
        <vt:i4>0</vt:i4>
      </vt:variant>
      <vt:variant>
        <vt:i4>5</vt:i4>
      </vt:variant>
      <vt:variant>
        <vt:lpwstr/>
      </vt:variant>
      <vt:variant>
        <vt:lpwstr>_Toc273706476</vt:lpwstr>
      </vt:variant>
      <vt:variant>
        <vt:i4>1441845</vt:i4>
      </vt:variant>
      <vt:variant>
        <vt:i4>62</vt:i4>
      </vt:variant>
      <vt:variant>
        <vt:i4>0</vt:i4>
      </vt:variant>
      <vt:variant>
        <vt:i4>5</vt:i4>
      </vt:variant>
      <vt:variant>
        <vt:lpwstr/>
      </vt:variant>
      <vt:variant>
        <vt:lpwstr>_Toc273706475</vt:lpwstr>
      </vt:variant>
      <vt:variant>
        <vt:i4>1441845</vt:i4>
      </vt:variant>
      <vt:variant>
        <vt:i4>56</vt:i4>
      </vt:variant>
      <vt:variant>
        <vt:i4>0</vt:i4>
      </vt:variant>
      <vt:variant>
        <vt:i4>5</vt:i4>
      </vt:variant>
      <vt:variant>
        <vt:lpwstr/>
      </vt:variant>
      <vt:variant>
        <vt:lpwstr>_Toc273706474</vt:lpwstr>
      </vt:variant>
      <vt:variant>
        <vt:i4>1441845</vt:i4>
      </vt:variant>
      <vt:variant>
        <vt:i4>50</vt:i4>
      </vt:variant>
      <vt:variant>
        <vt:i4>0</vt:i4>
      </vt:variant>
      <vt:variant>
        <vt:i4>5</vt:i4>
      </vt:variant>
      <vt:variant>
        <vt:lpwstr/>
      </vt:variant>
      <vt:variant>
        <vt:lpwstr>_Toc273706473</vt:lpwstr>
      </vt:variant>
      <vt:variant>
        <vt:i4>1441845</vt:i4>
      </vt:variant>
      <vt:variant>
        <vt:i4>44</vt:i4>
      </vt:variant>
      <vt:variant>
        <vt:i4>0</vt:i4>
      </vt:variant>
      <vt:variant>
        <vt:i4>5</vt:i4>
      </vt:variant>
      <vt:variant>
        <vt:lpwstr/>
      </vt:variant>
      <vt:variant>
        <vt:lpwstr>_Toc273706472</vt:lpwstr>
      </vt:variant>
      <vt:variant>
        <vt:i4>1441845</vt:i4>
      </vt:variant>
      <vt:variant>
        <vt:i4>38</vt:i4>
      </vt:variant>
      <vt:variant>
        <vt:i4>0</vt:i4>
      </vt:variant>
      <vt:variant>
        <vt:i4>5</vt:i4>
      </vt:variant>
      <vt:variant>
        <vt:lpwstr/>
      </vt:variant>
      <vt:variant>
        <vt:lpwstr>_Toc273706471</vt:lpwstr>
      </vt:variant>
      <vt:variant>
        <vt:i4>1441845</vt:i4>
      </vt:variant>
      <vt:variant>
        <vt:i4>32</vt:i4>
      </vt:variant>
      <vt:variant>
        <vt:i4>0</vt:i4>
      </vt:variant>
      <vt:variant>
        <vt:i4>5</vt:i4>
      </vt:variant>
      <vt:variant>
        <vt:lpwstr/>
      </vt:variant>
      <vt:variant>
        <vt:lpwstr>_Toc273706470</vt:lpwstr>
      </vt:variant>
      <vt:variant>
        <vt:i4>1507381</vt:i4>
      </vt:variant>
      <vt:variant>
        <vt:i4>26</vt:i4>
      </vt:variant>
      <vt:variant>
        <vt:i4>0</vt:i4>
      </vt:variant>
      <vt:variant>
        <vt:i4>5</vt:i4>
      </vt:variant>
      <vt:variant>
        <vt:lpwstr/>
      </vt:variant>
      <vt:variant>
        <vt:lpwstr>_Toc273706469</vt:lpwstr>
      </vt:variant>
      <vt:variant>
        <vt:i4>1507381</vt:i4>
      </vt:variant>
      <vt:variant>
        <vt:i4>20</vt:i4>
      </vt:variant>
      <vt:variant>
        <vt:i4>0</vt:i4>
      </vt:variant>
      <vt:variant>
        <vt:i4>5</vt:i4>
      </vt:variant>
      <vt:variant>
        <vt:lpwstr/>
      </vt:variant>
      <vt:variant>
        <vt:lpwstr>_Toc273706468</vt:lpwstr>
      </vt:variant>
      <vt:variant>
        <vt:i4>1507381</vt:i4>
      </vt:variant>
      <vt:variant>
        <vt:i4>14</vt:i4>
      </vt:variant>
      <vt:variant>
        <vt:i4>0</vt:i4>
      </vt:variant>
      <vt:variant>
        <vt:i4>5</vt:i4>
      </vt:variant>
      <vt:variant>
        <vt:lpwstr/>
      </vt:variant>
      <vt:variant>
        <vt:lpwstr>_Toc273706467</vt:lpwstr>
      </vt:variant>
      <vt:variant>
        <vt:i4>1507381</vt:i4>
      </vt:variant>
      <vt:variant>
        <vt:i4>8</vt:i4>
      </vt:variant>
      <vt:variant>
        <vt:i4>0</vt:i4>
      </vt:variant>
      <vt:variant>
        <vt:i4>5</vt:i4>
      </vt:variant>
      <vt:variant>
        <vt:lpwstr/>
      </vt:variant>
      <vt:variant>
        <vt:lpwstr>_Toc273706466</vt:lpwstr>
      </vt:variant>
      <vt:variant>
        <vt:i4>1507381</vt:i4>
      </vt:variant>
      <vt:variant>
        <vt:i4>2</vt:i4>
      </vt:variant>
      <vt:variant>
        <vt:i4>0</vt:i4>
      </vt:variant>
      <vt:variant>
        <vt:i4>5</vt:i4>
      </vt:variant>
      <vt:variant>
        <vt:lpwstr/>
      </vt:variant>
      <vt:variant>
        <vt:lpwstr>_Toc273706465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Viðauki 4: Almennar frávikskröfur</dc:title>
  <dc:creator>Þórir Ingason</dc:creator>
  <cp:lastModifiedBy>Petur Petursson</cp:lastModifiedBy>
  <cp:revision>43</cp:revision>
  <cp:lastPrinted>2020-10-09T14:20:00Z</cp:lastPrinted>
  <dcterms:created xsi:type="dcterms:W3CDTF">2019-12-16T14:02:00Z</dcterms:created>
  <dcterms:modified xsi:type="dcterms:W3CDTF">2020-10-09T14:20:00Z</dcterms:modified>
</cp:coreProperties>
</file>