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D0F" w:rsidRPr="008E4E89" w:rsidRDefault="00DB44E8" w:rsidP="00DB44E8">
      <w:pPr>
        <w:jc w:val="center"/>
        <w:rPr>
          <w:b/>
          <w:sz w:val="32"/>
          <w:szCs w:val="32"/>
        </w:rPr>
      </w:pPr>
      <w:r w:rsidRPr="008E4E89">
        <w:rPr>
          <w:b/>
          <w:sz w:val="32"/>
          <w:szCs w:val="32"/>
        </w:rPr>
        <w:t xml:space="preserve">Leiðbeiningar við notkun á </w:t>
      </w:r>
      <w:proofErr w:type="spellStart"/>
      <w:r w:rsidRPr="008E4E89">
        <w:rPr>
          <w:b/>
          <w:sz w:val="32"/>
          <w:szCs w:val="32"/>
        </w:rPr>
        <w:t>excel</w:t>
      </w:r>
      <w:proofErr w:type="spellEnd"/>
      <w:r w:rsidRPr="008E4E89">
        <w:rPr>
          <w:b/>
          <w:sz w:val="32"/>
          <w:szCs w:val="32"/>
        </w:rPr>
        <w:t xml:space="preserve"> töflum varðandi uppgjör samkvæmt ábatasamningi</w:t>
      </w:r>
    </w:p>
    <w:p w:rsidR="00DB44E8" w:rsidRDefault="00DB44E8" w:rsidP="00DB44E8">
      <w:pPr>
        <w:jc w:val="center"/>
        <w:rPr>
          <w:sz w:val="40"/>
          <w:szCs w:val="40"/>
        </w:rPr>
      </w:pPr>
    </w:p>
    <w:p w:rsidR="00DB44E8" w:rsidRPr="00DB44E8" w:rsidRDefault="00DB44E8" w:rsidP="00DB44E8">
      <w:pPr>
        <w:rPr>
          <w:sz w:val="28"/>
          <w:szCs w:val="28"/>
        </w:rPr>
      </w:pPr>
      <w:r>
        <w:rPr>
          <w:sz w:val="28"/>
          <w:szCs w:val="28"/>
        </w:rPr>
        <w:t>Grunnur:</w:t>
      </w:r>
    </w:p>
    <w:p w:rsidR="00DB44E8" w:rsidRDefault="00DB44E8" w:rsidP="00DB44E8">
      <w:pPr>
        <w:pStyle w:val="ListParagraph"/>
        <w:numPr>
          <w:ilvl w:val="0"/>
          <w:numId w:val="2"/>
        </w:numPr>
        <w:rPr>
          <w:sz w:val="24"/>
          <w:szCs w:val="24"/>
        </w:rPr>
      </w:pPr>
      <w:r>
        <w:rPr>
          <w:sz w:val="24"/>
          <w:szCs w:val="24"/>
        </w:rPr>
        <w:t>Slá inn heiti verks</w:t>
      </w:r>
      <w:r w:rsidR="00CF0357">
        <w:rPr>
          <w:sz w:val="24"/>
          <w:szCs w:val="24"/>
        </w:rPr>
        <w:t xml:space="preserve"> ath. slá inn í reitinn A</w:t>
      </w:r>
      <w:r w:rsidR="007C059B">
        <w:rPr>
          <w:sz w:val="24"/>
          <w:szCs w:val="24"/>
        </w:rPr>
        <w:t>5 fyrir aftan Heiti verks.</w:t>
      </w:r>
      <w:r w:rsidR="00020DF9">
        <w:rPr>
          <w:sz w:val="24"/>
          <w:szCs w:val="24"/>
        </w:rPr>
        <w:t xml:space="preserve">  Færist sjálfkrafa á reikningsuppgjör.</w:t>
      </w:r>
    </w:p>
    <w:p w:rsidR="00DB44E8" w:rsidRPr="00020DF9" w:rsidRDefault="00DB44E8" w:rsidP="00020DF9">
      <w:pPr>
        <w:pStyle w:val="ListParagraph"/>
        <w:numPr>
          <w:ilvl w:val="0"/>
          <w:numId w:val="2"/>
        </w:numPr>
        <w:rPr>
          <w:sz w:val="24"/>
          <w:szCs w:val="24"/>
        </w:rPr>
      </w:pPr>
      <w:r>
        <w:rPr>
          <w:sz w:val="24"/>
          <w:szCs w:val="24"/>
        </w:rPr>
        <w:t>Slá inn nafn verktaka</w:t>
      </w:r>
      <w:r w:rsidR="00CF0357">
        <w:rPr>
          <w:sz w:val="24"/>
          <w:szCs w:val="24"/>
        </w:rPr>
        <w:t xml:space="preserve"> ath. slá inn í reitinn A</w:t>
      </w:r>
      <w:r w:rsidR="009E3CB5">
        <w:rPr>
          <w:sz w:val="24"/>
          <w:szCs w:val="24"/>
        </w:rPr>
        <w:t>7 fyrir aftan verktaki.</w:t>
      </w:r>
      <w:r w:rsidR="00020DF9">
        <w:rPr>
          <w:sz w:val="24"/>
          <w:szCs w:val="24"/>
        </w:rPr>
        <w:t xml:space="preserve">  Færist sjálfkrafa á reikningsuppgjör.</w:t>
      </w:r>
    </w:p>
    <w:p w:rsidR="00020DF9" w:rsidRPr="00020DF9" w:rsidRDefault="00020DF9" w:rsidP="00020DF9">
      <w:pPr>
        <w:pStyle w:val="ListParagraph"/>
        <w:numPr>
          <w:ilvl w:val="0"/>
          <w:numId w:val="2"/>
        </w:numPr>
        <w:rPr>
          <w:sz w:val="24"/>
          <w:szCs w:val="24"/>
        </w:rPr>
      </w:pPr>
      <w:r>
        <w:rPr>
          <w:sz w:val="24"/>
          <w:szCs w:val="24"/>
        </w:rPr>
        <w:t>Slá inn kt. verktaka.  Færist sjálfkrafa á reikningsuppgjör.</w:t>
      </w:r>
    </w:p>
    <w:p w:rsidR="00DB44E8" w:rsidRDefault="00DB44E8" w:rsidP="00DB44E8">
      <w:pPr>
        <w:pStyle w:val="ListParagraph"/>
        <w:numPr>
          <w:ilvl w:val="0"/>
          <w:numId w:val="2"/>
        </w:numPr>
        <w:rPr>
          <w:sz w:val="24"/>
          <w:szCs w:val="24"/>
        </w:rPr>
      </w:pPr>
      <w:r>
        <w:rPr>
          <w:sz w:val="24"/>
          <w:szCs w:val="24"/>
        </w:rPr>
        <w:t>Skilgreina sj</w:t>
      </w:r>
      <w:r w:rsidR="0089419F">
        <w:rPr>
          <w:sz w:val="24"/>
          <w:szCs w:val="24"/>
        </w:rPr>
        <w:t xml:space="preserve">ónmoksturstímabil t.d. </w:t>
      </w:r>
      <w:r>
        <w:rPr>
          <w:sz w:val="24"/>
          <w:szCs w:val="24"/>
        </w:rPr>
        <w:t>2009 – 2010</w:t>
      </w:r>
    </w:p>
    <w:p w:rsidR="007C059B" w:rsidRDefault="007C059B" w:rsidP="00DB44E8">
      <w:pPr>
        <w:pStyle w:val="ListParagraph"/>
        <w:numPr>
          <w:ilvl w:val="0"/>
          <w:numId w:val="2"/>
        </w:numPr>
        <w:rPr>
          <w:sz w:val="24"/>
          <w:szCs w:val="24"/>
        </w:rPr>
      </w:pPr>
      <w:r>
        <w:rPr>
          <w:sz w:val="24"/>
          <w:szCs w:val="24"/>
        </w:rPr>
        <w:t>Skrá verkþætti sem greitt er fyrir, þeir flytjast svo sjálfkrafa yfir í reikninga</w:t>
      </w:r>
    </w:p>
    <w:p w:rsidR="00DB44E8" w:rsidRDefault="00DB44E8" w:rsidP="00DB44E8">
      <w:pPr>
        <w:pStyle w:val="ListParagraph"/>
        <w:numPr>
          <w:ilvl w:val="0"/>
          <w:numId w:val="2"/>
        </w:numPr>
        <w:rPr>
          <w:sz w:val="24"/>
          <w:szCs w:val="24"/>
        </w:rPr>
      </w:pPr>
      <w:r>
        <w:rPr>
          <w:sz w:val="24"/>
          <w:szCs w:val="24"/>
        </w:rPr>
        <w:t>Einingarverð og magntölur slegnar inn</w:t>
      </w:r>
      <w:r w:rsidR="00020DF9">
        <w:rPr>
          <w:sz w:val="24"/>
          <w:szCs w:val="24"/>
        </w:rPr>
        <w:t>.  Einingarverið flytjast sjálfkrafa á reikningsuppgjör</w:t>
      </w:r>
    </w:p>
    <w:p w:rsidR="00DB44E8" w:rsidRPr="00CF0357" w:rsidRDefault="00DB44E8" w:rsidP="00DB44E8">
      <w:pPr>
        <w:pStyle w:val="ListParagraph"/>
        <w:numPr>
          <w:ilvl w:val="0"/>
          <w:numId w:val="2"/>
        </w:numPr>
        <w:rPr>
          <w:b/>
          <w:sz w:val="24"/>
          <w:szCs w:val="24"/>
        </w:rPr>
      </w:pPr>
      <w:r>
        <w:rPr>
          <w:sz w:val="24"/>
          <w:szCs w:val="24"/>
        </w:rPr>
        <w:t>Fast gjald %  og fjöldi gjaldaga</w:t>
      </w:r>
      <w:r w:rsidR="00020DF9">
        <w:rPr>
          <w:sz w:val="24"/>
          <w:szCs w:val="24"/>
        </w:rPr>
        <w:t>.  Ath. fjöldi gjaldaga þarf að vera réttur því að fasta gjaldið reik</w:t>
      </w:r>
      <w:r w:rsidR="007C059B">
        <w:rPr>
          <w:sz w:val="24"/>
          <w:szCs w:val="24"/>
        </w:rPr>
        <w:t>nast í jöfnum greiðslum þ.e. fast gjald</w:t>
      </w:r>
      <w:r w:rsidR="00020DF9">
        <w:rPr>
          <w:sz w:val="24"/>
          <w:szCs w:val="24"/>
        </w:rPr>
        <w:t xml:space="preserve">/fjölda gjaldaga.  </w:t>
      </w:r>
      <w:r w:rsidR="00020DF9" w:rsidRPr="00CF0357">
        <w:rPr>
          <w:b/>
          <w:sz w:val="24"/>
          <w:szCs w:val="24"/>
        </w:rPr>
        <w:t xml:space="preserve">Ekki má breyta fjölda gjaldaga á miðju tímabili.  Ef það er gert þarf að </w:t>
      </w:r>
      <w:proofErr w:type="spellStart"/>
      <w:r w:rsidR="00020DF9" w:rsidRPr="00CF0357">
        <w:rPr>
          <w:b/>
          <w:sz w:val="24"/>
          <w:szCs w:val="24"/>
        </w:rPr>
        <w:t>endurreikna</w:t>
      </w:r>
      <w:proofErr w:type="spellEnd"/>
      <w:r w:rsidR="00020DF9" w:rsidRPr="00CF0357">
        <w:rPr>
          <w:b/>
          <w:sz w:val="24"/>
          <w:szCs w:val="24"/>
        </w:rPr>
        <w:t xml:space="preserve"> greiðslur á fasta gjaldinu handvirkt.</w:t>
      </w:r>
    </w:p>
    <w:p w:rsidR="00DB44E8" w:rsidRDefault="00DB44E8" w:rsidP="00DB44E8">
      <w:pPr>
        <w:pStyle w:val="ListParagraph"/>
        <w:numPr>
          <w:ilvl w:val="0"/>
          <w:numId w:val="2"/>
        </w:numPr>
        <w:rPr>
          <w:sz w:val="24"/>
          <w:szCs w:val="24"/>
        </w:rPr>
      </w:pPr>
      <w:r>
        <w:rPr>
          <w:sz w:val="24"/>
          <w:szCs w:val="24"/>
        </w:rPr>
        <w:t>Grunnvísitölur og vægi fyllt inn í töflu fyrir útreikning verðbóta</w:t>
      </w:r>
      <w:r w:rsidR="0089419F">
        <w:rPr>
          <w:sz w:val="24"/>
          <w:szCs w:val="24"/>
        </w:rPr>
        <w:t>.  Ef ekki eru vinnuvélar í útboði skal skrá 0 i vægi fyrir vinnuvélar.</w:t>
      </w:r>
    </w:p>
    <w:p w:rsidR="00DB44E8" w:rsidRDefault="00DB44E8" w:rsidP="00DB44E8">
      <w:pPr>
        <w:pStyle w:val="ListParagraph"/>
        <w:numPr>
          <w:ilvl w:val="0"/>
          <w:numId w:val="2"/>
        </w:numPr>
        <w:rPr>
          <w:sz w:val="24"/>
          <w:szCs w:val="24"/>
        </w:rPr>
      </w:pPr>
      <w:r>
        <w:rPr>
          <w:sz w:val="24"/>
          <w:szCs w:val="24"/>
        </w:rPr>
        <w:t>Vísitölur viðkomandi mánaðar slegnar i</w:t>
      </w:r>
      <w:r w:rsidR="0089419F">
        <w:rPr>
          <w:sz w:val="24"/>
          <w:szCs w:val="24"/>
        </w:rPr>
        <w:t>nn og taflan reikna út verðbótaprósentu</w:t>
      </w:r>
      <w:r>
        <w:rPr>
          <w:sz w:val="24"/>
          <w:szCs w:val="24"/>
        </w:rPr>
        <w:t xml:space="preserve"> pr. mánuð</w:t>
      </w:r>
      <w:r w:rsidR="0089419F">
        <w:rPr>
          <w:sz w:val="24"/>
          <w:szCs w:val="24"/>
        </w:rPr>
        <w:t xml:space="preserve"> (dálkurinn verðbætur)</w:t>
      </w:r>
      <w:r>
        <w:rPr>
          <w:sz w:val="24"/>
          <w:szCs w:val="24"/>
        </w:rPr>
        <w:t xml:space="preserve">.  </w:t>
      </w:r>
      <w:r w:rsidRPr="008E4E89">
        <w:rPr>
          <w:b/>
          <w:i/>
          <w:sz w:val="24"/>
          <w:szCs w:val="24"/>
        </w:rPr>
        <w:t xml:space="preserve">Ath. flytja þarf  verðbótaprósentu handvirkt inn í </w:t>
      </w:r>
      <w:r w:rsidR="0089419F" w:rsidRPr="008E4E89">
        <w:rPr>
          <w:b/>
          <w:i/>
          <w:sz w:val="24"/>
          <w:szCs w:val="24"/>
        </w:rPr>
        <w:t>reikningsuppgjör</w:t>
      </w:r>
      <w:r w:rsidRPr="008E4E89">
        <w:rPr>
          <w:b/>
          <w:i/>
          <w:sz w:val="24"/>
          <w:szCs w:val="24"/>
        </w:rPr>
        <w:t xml:space="preserve"> (reitur B 28)  fyrir viðkomandi reikning.</w:t>
      </w:r>
      <w:r>
        <w:rPr>
          <w:sz w:val="24"/>
          <w:szCs w:val="24"/>
        </w:rPr>
        <w:t xml:space="preserve">  </w:t>
      </w:r>
    </w:p>
    <w:p w:rsidR="00DB44E8" w:rsidRDefault="00DB44E8" w:rsidP="00DB44E8">
      <w:pPr>
        <w:pStyle w:val="ListParagraph"/>
        <w:numPr>
          <w:ilvl w:val="0"/>
          <w:numId w:val="2"/>
        </w:numPr>
        <w:rPr>
          <w:sz w:val="24"/>
          <w:szCs w:val="24"/>
        </w:rPr>
      </w:pPr>
      <w:r>
        <w:rPr>
          <w:sz w:val="24"/>
          <w:szCs w:val="24"/>
        </w:rPr>
        <w:t>Í grunnin</w:t>
      </w:r>
      <w:r w:rsidR="0089419F">
        <w:rPr>
          <w:sz w:val="24"/>
          <w:szCs w:val="24"/>
        </w:rPr>
        <w:t>n</w:t>
      </w:r>
      <w:r>
        <w:rPr>
          <w:sz w:val="24"/>
          <w:szCs w:val="24"/>
        </w:rPr>
        <w:t xml:space="preserve"> þarf </w:t>
      </w:r>
      <w:r w:rsidR="0029007A">
        <w:rPr>
          <w:sz w:val="24"/>
          <w:szCs w:val="24"/>
        </w:rPr>
        <w:t xml:space="preserve">síðan </w:t>
      </w:r>
      <w:r>
        <w:rPr>
          <w:sz w:val="24"/>
          <w:szCs w:val="24"/>
        </w:rPr>
        <w:t xml:space="preserve">eingöngu að slá inn vísitölur </w:t>
      </w:r>
      <w:r w:rsidRPr="00DB44E8">
        <w:rPr>
          <w:sz w:val="24"/>
          <w:szCs w:val="24"/>
          <w:u w:val="single"/>
        </w:rPr>
        <w:t>hvers mánaðar</w:t>
      </w:r>
      <w:r>
        <w:rPr>
          <w:sz w:val="24"/>
          <w:szCs w:val="24"/>
        </w:rPr>
        <w:t xml:space="preserve">  og athugið að það þarf að </w:t>
      </w:r>
      <w:r w:rsidRPr="0029007A">
        <w:rPr>
          <w:b/>
          <w:sz w:val="24"/>
          <w:szCs w:val="24"/>
        </w:rPr>
        <w:t>slá inn</w:t>
      </w:r>
      <w:r w:rsidR="008F531A">
        <w:rPr>
          <w:b/>
          <w:sz w:val="24"/>
          <w:szCs w:val="24"/>
        </w:rPr>
        <w:t xml:space="preserve"> vísitölur</w:t>
      </w:r>
      <w:r w:rsidRPr="0029007A">
        <w:rPr>
          <w:b/>
          <w:sz w:val="24"/>
          <w:szCs w:val="24"/>
        </w:rPr>
        <w:t xml:space="preserve"> </w:t>
      </w:r>
      <w:r w:rsidR="0029007A" w:rsidRPr="0029007A">
        <w:rPr>
          <w:b/>
          <w:sz w:val="24"/>
          <w:szCs w:val="24"/>
        </w:rPr>
        <w:t>fyrir hvern einasta mánuð</w:t>
      </w:r>
      <w:r w:rsidR="0089419F">
        <w:rPr>
          <w:b/>
          <w:sz w:val="24"/>
          <w:szCs w:val="24"/>
        </w:rPr>
        <w:t xml:space="preserve"> (alla mánuði ársins)</w:t>
      </w:r>
      <w:r w:rsidR="0029007A" w:rsidRPr="0029007A">
        <w:rPr>
          <w:b/>
          <w:sz w:val="24"/>
          <w:szCs w:val="24"/>
        </w:rPr>
        <w:t xml:space="preserve"> </w:t>
      </w:r>
      <w:r w:rsidR="0029007A">
        <w:rPr>
          <w:sz w:val="24"/>
          <w:szCs w:val="24"/>
        </w:rPr>
        <w:t>annars reiknast verðbætur ekki rétt út.</w:t>
      </w:r>
    </w:p>
    <w:p w:rsidR="009E3CB5" w:rsidRDefault="009E3CB5" w:rsidP="009E3CB5">
      <w:pPr>
        <w:rPr>
          <w:sz w:val="24"/>
          <w:szCs w:val="24"/>
        </w:rPr>
      </w:pPr>
    </w:p>
    <w:p w:rsidR="009E3CB5" w:rsidRDefault="009E3CB5" w:rsidP="009E3CB5">
      <w:pPr>
        <w:rPr>
          <w:sz w:val="28"/>
          <w:szCs w:val="28"/>
        </w:rPr>
      </w:pPr>
      <w:r>
        <w:rPr>
          <w:sz w:val="28"/>
          <w:szCs w:val="28"/>
        </w:rPr>
        <w:t>Reikningar:</w:t>
      </w:r>
    </w:p>
    <w:p w:rsidR="009E3CB5" w:rsidRDefault="00020DF9" w:rsidP="00020DF9">
      <w:pPr>
        <w:pStyle w:val="ListParagraph"/>
        <w:numPr>
          <w:ilvl w:val="0"/>
          <w:numId w:val="3"/>
        </w:numPr>
        <w:rPr>
          <w:sz w:val="24"/>
          <w:szCs w:val="24"/>
        </w:rPr>
      </w:pPr>
      <w:r w:rsidRPr="00020DF9">
        <w:rPr>
          <w:sz w:val="24"/>
          <w:szCs w:val="24"/>
        </w:rPr>
        <w:t xml:space="preserve">Slá inn tímabil </w:t>
      </w:r>
      <w:r w:rsidR="001E10A4">
        <w:rPr>
          <w:sz w:val="24"/>
          <w:szCs w:val="24"/>
        </w:rPr>
        <w:t>reiknings í reit A</w:t>
      </w:r>
      <w:r>
        <w:rPr>
          <w:sz w:val="24"/>
          <w:szCs w:val="24"/>
        </w:rPr>
        <w:t>9</w:t>
      </w:r>
      <w:r w:rsidR="00CF0357">
        <w:rPr>
          <w:sz w:val="24"/>
          <w:szCs w:val="24"/>
        </w:rPr>
        <w:t>,</w:t>
      </w:r>
      <w:r>
        <w:rPr>
          <w:sz w:val="24"/>
          <w:szCs w:val="24"/>
        </w:rPr>
        <w:t xml:space="preserve"> afritast sjálfkrafa á formið til hægri</w:t>
      </w:r>
    </w:p>
    <w:p w:rsidR="00CF0357" w:rsidRDefault="00CF0357" w:rsidP="00020DF9">
      <w:pPr>
        <w:pStyle w:val="ListParagraph"/>
        <w:numPr>
          <w:ilvl w:val="0"/>
          <w:numId w:val="3"/>
        </w:numPr>
        <w:rPr>
          <w:sz w:val="24"/>
          <w:szCs w:val="24"/>
        </w:rPr>
      </w:pPr>
      <w:r>
        <w:rPr>
          <w:sz w:val="24"/>
          <w:szCs w:val="24"/>
        </w:rPr>
        <w:t xml:space="preserve">Slá inn </w:t>
      </w:r>
      <w:r w:rsidR="001E10A4">
        <w:rPr>
          <w:sz w:val="24"/>
          <w:szCs w:val="24"/>
        </w:rPr>
        <w:t>dagsetningu á verkstöðu í reit D</w:t>
      </w:r>
      <w:r>
        <w:rPr>
          <w:sz w:val="24"/>
          <w:szCs w:val="24"/>
        </w:rPr>
        <w:t>9,  afritast sjálfkrafa á formið til hægri</w:t>
      </w:r>
    </w:p>
    <w:p w:rsidR="00CF0357" w:rsidRDefault="00CF0357" w:rsidP="00020DF9">
      <w:pPr>
        <w:pStyle w:val="ListParagraph"/>
        <w:numPr>
          <w:ilvl w:val="0"/>
          <w:numId w:val="3"/>
        </w:numPr>
        <w:rPr>
          <w:sz w:val="24"/>
          <w:szCs w:val="24"/>
        </w:rPr>
      </w:pPr>
      <w:r>
        <w:rPr>
          <w:sz w:val="24"/>
          <w:szCs w:val="24"/>
        </w:rPr>
        <w:t xml:space="preserve">Í dálk B16:B24 skal skrá </w:t>
      </w:r>
      <w:r w:rsidRPr="00CF0357">
        <w:rPr>
          <w:b/>
          <w:sz w:val="24"/>
          <w:szCs w:val="24"/>
        </w:rPr>
        <w:t>magntölur tímabilsins</w:t>
      </w:r>
      <w:r>
        <w:rPr>
          <w:sz w:val="24"/>
          <w:szCs w:val="24"/>
        </w:rPr>
        <w:t>.  Taflan heldur síðan utan um uppsafnað magn.</w:t>
      </w:r>
    </w:p>
    <w:p w:rsidR="00CF0357" w:rsidRDefault="00CF0357" w:rsidP="00020DF9">
      <w:pPr>
        <w:pStyle w:val="ListParagraph"/>
        <w:numPr>
          <w:ilvl w:val="0"/>
          <w:numId w:val="3"/>
        </w:numPr>
        <w:rPr>
          <w:sz w:val="24"/>
          <w:szCs w:val="24"/>
        </w:rPr>
      </w:pPr>
      <w:r>
        <w:rPr>
          <w:sz w:val="24"/>
          <w:szCs w:val="24"/>
        </w:rPr>
        <w:t>Verðbótaprósenta er síðan slegin inn í reit B 28.  Síðan reiknast út hvað á að greiða fyrir tímabilið.</w:t>
      </w:r>
    </w:p>
    <w:p w:rsidR="00642187" w:rsidRPr="00642187" w:rsidRDefault="00CF0357" w:rsidP="009E3CB5">
      <w:pPr>
        <w:pStyle w:val="ListParagraph"/>
        <w:numPr>
          <w:ilvl w:val="0"/>
          <w:numId w:val="3"/>
        </w:numPr>
        <w:rPr>
          <w:sz w:val="24"/>
          <w:szCs w:val="24"/>
        </w:rPr>
      </w:pPr>
      <w:r w:rsidRPr="001E10A4">
        <w:rPr>
          <w:b/>
          <w:sz w:val="24"/>
          <w:szCs w:val="24"/>
        </w:rPr>
        <w:t>Þegar lokið hefur verið við að reikna út hvern reikning þarf sérstak</w:t>
      </w:r>
      <w:r w:rsidR="0089323A">
        <w:rPr>
          <w:b/>
          <w:sz w:val="24"/>
          <w:szCs w:val="24"/>
        </w:rPr>
        <w:t>lega að varast að breyta nokkru</w:t>
      </w:r>
      <w:r w:rsidRPr="001E10A4">
        <w:rPr>
          <w:b/>
          <w:sz w:val="24"/>
          <w:szCs w:val="24"/>
        </w:rPr>
        <w:t xml:space="preserve"> </w:t>
      </w:r>
      <w:r w:rsidR="001E10A4" w:rsidRPr="001E10A4">
        <w:rPr>
          <w:b/>
          <w:sz w:val="24"/>
          <w:szCs w:val="24"/>
        </w:rPr>
        <w:t>eftir að uppgjöri á viðkomandi reikningi er lokið.  Ef það er gert verður næsti reikningur ekki réttur.</w:t>
      </w:r>
      <w:r w:rsidR="001E10A4">
        <w:rPr>
          <w:b/>
          <w:sz w:val="24"/>
          <w:szCs w:val="24"/>
        </w:rPr>
        <w:t xml:space="preserve">  </w:t>
      </w:r>
    </w:p>
    <w:p w:rsidR="005E22B0" w:rsidRPr="00A32680" w:rsidRDefault="005E22B0" w:rsidP="00A32680">
      <w:pPr>
        <w:pStyle w:val="ListParagraph"/>
        <w:numPr>
          <w:ilvl w:val="0"/>
          <w:numId w:val="3"/>
        </w:numPr>
        <w:rPr>
          <w:sz w:val="24"/>
          <w:szCs w:val="24"/>
        </w:rPr>
      </w:pPr>
      <w:r w:rsidRPr="00A32680">
        <w:rPr>
          <w:sz w:val="24"/>
          <w:szCs w:val="24"/>
        </w:rPr>
        <w:lastRenderedPageBreak/>
        <w:t xml:space="preserve">Útreikningarnir virka þannig að verktaka er tryggð ákveðin lágmarksgreiðsla (fast gjald + ábati) við uppgjör hvers reiknings sem byggir á lágmarksheildarupphæð sem viðkomandi fær að afloknum vetri verði engin vinna framkvæmd á tímabilinu. </w:t>
      </w:r>
    </w:p>
    <w:p w:rsidR="005E22B0" w:rsidRPr="00A32680" w:rsidRDefault="005E22B0" w:rsidP="005E22B0">
      <w:pPr>
        <w:autoSpaceDE w:val="0"/>
        <w:autoSpaceDN w:val="0"/>
        <w:adjustRightInd w:val="0"/>
        <w:spacing w:after="120" w:line="240" w:lineRule="auto"/>
        <w:ind w:left="709" w:hanging="1"/>
        <w:rPr>
          <w:sz w:val="24"/>
          <w:szCs w:val="24"/>
        </w:rPr>
      </w:pPr>
      <w:r w:rsidRPr="00A32680">
        <w:rPr>
          <w:sz w:val="24"/>
          <w:szCs w:val="24"/>
        </w:rPr>
        <w:t xml:space="preserve">Þetta er gert til að tryggja verktaka fastar greiðslur fyrri hluta vetrar þegar og ef lítil eða engin vinna er framkvæmd þar sem verktaki þarf engu að síður að standa skil á afborgunum og launum af þeim aðföngum sem hann leggur til. </w:t>
      </w:r>
    </w:p>
    <w:p w:rsidR="005E22B0" w:rsidRPr="00A32680" w:rsidRDefault="005E22B0" w:rsidP="005E22B0">
      <w:pPr>
        <w:autoSpaceDE w:val="0"/>
        <w:autoSpaceDN w:val="0"/>
        <w:adjustRightInd w:val="0"/>
        <w:spacing w:after="120" w:line="240" w:lineRule="auto"/>
        <w:ind w:left="709" w:hanging="1"/>
        <w:rPr>
          <w:sz w:val="24"/>
          <w:szCs w:val="24"/>
        </w:rPr>
      </w:pPr>
      <w:r w:rsidRPr="00A32680">
        <w:rPr>
          <w:sz w:val="24"/>
          <w:szCs w:val="24"/>
        </w:rPr>
        <w:t>Um leið og einhver vinna er framkvæmd og uppsafnaður ábati á framlögðum reikningi fer yfir heildar grunnupphæð ábatans þá dregst frá samsvarandi hluti þannig að í lok samningstímabils og oftast  fyrr stendur þessi jöfnunarreikningur á núlli</w:t>
      </w:r>
    </w:p>
    <w:p w:rsidR="005E22B0" w:rsidRDefault="005E22B0" w:rsidP="005E22B0">
      <w:pPr>
        <w:autoSpaceDE w:val="0"/>
        <w:autoSpaceDN w:val="0"/>
        <w:adjustRightInd w:val="0"/>
        <w:spacing w:after="0" w:line="240" w:lineRule="auto"/>
        <w:ind w:left="709" w:hanging="425"/>
        <w:rPr>
          <w:rFonts w:ascii="Helv" w:hAnsi="Helv" w:cs="Helv"/>
          <w:color w:val="000000"/>
          <w:sz w:val="20"/>
          <w:szCs w:val="20"/>
        </w:rPr>
      </w:pPr>
    </w:p>
    <w:p w:rsidR="005E22B0" w:rsidRPr="00A32680" w:rsidRDefault="005E22B0" w:rsidP="00A32680">
      <w:pPr>
        <w:autoSpaceDE w:val="0"/>
        <w:autoSpaceDN w:val="0"/>
        <w:adjustRightInd w:val="0"/>
        <w:spacing w:after="120" w:line="240" w:lineRule="auto"/>
        <w:ind w:left="709" w:hanging="1"/>
        <w:rPr>
          <w:sz w:val="24"/>
          <w:szCs w:val="24"/>
        </w:rPr>
      </w:pPr>
      <w:r w:rsidRPr="00A32680">
        <w:rPr>
          <w:sz w:val="24"/>
          <w:szCs w:val="24"/>
        </w:rPr>
        <w:t xml:space="preserve">Dæmi: </w:t>
      </w:r>
    </w:p>
    <w:p w:rsidR="005E22B0" w:rsidRPr="00A32680" w:rsidRDefault="005E22B0" w:rsidP="00A32680">
      <w:pPr>
        <w:autoSpaceDE w:val="0"/>
        <w:autoSpaceDN w:val="0"/>
        <w:adjustRightInd w:val="0"/>
        <w:spacing w:after="120" w:line="240" w:lineRule="auto"/>
        <w:ind w:left="709" w:hanging="1"/>
        <w:rPr>
          <w:sz w:val="24"/>
          <w:szCs w:val="24"/>
        </w:rPr>
      </w:pPr>
      <w:r w:rsidRPr="00A32680">
        <w:rPr>
          <w:sz w:val="24"/>
          <w:szCs w:val="24"/>
        </w:rPr>
        <w:t>Heildarsamningsupphæð er 10.0 m.kr.</w:t>
      </w:r>
    </w:p>
    <w:p w:rsidR="005E22B0" w:rsidRPr="00A32680" w:rsidRDefault="005E22B0" w:rsidP="00A32680">
      <w:pPr>
        <w:autoSpaceDE w:val="0"/>
        <w:autoSpaceDN w:val="0"/>
        <w:adjustRightInd w:val="0"/>
        <w:spacing w:after="120" w:line="240" w:lineRule="auto"/>
        <w:ind w:left="709" w:hanging="1"/>
        <w:rPr>
          <w:sz w:val="24"/>
          <w:szCs w:val="24"/>
        </w:rPr>
      </w:pPr>
      <w:r w:rsidRPr="00A32680">
        <w:rPr>
          <w:sz w:val="24"/>
          <w:szCs w:val="24"/>
        </w:rPr>
        <w:t>Föst gjaldprósenta er 20% og fjöldi gjalddaga á tímabilinu eru 14</w:t>
      </w:r>
    </w:p>
    <w:p w:rsidR="005E22B0" w:rsidRPr="00A32680" w:rsidRDefault="005E22B0" w:rsidP="00A32680">
      <w:pPr>
        <w:autoSpaceDE w:val="0"/>
        <w:autoSpaceDN w:val="0"/>
        <w:adjustRightInd w:val="0"/>
        <w:spacing w:after="120" w:line="240" w:lineRule="auto"/>
        <w:ind w:left="709" w:hanging="1"/>
        <w:rPr>
          <w:sz w:val="24"/>
          <w:szCs w:val="24"/>
        </w:rPr>
      </w:pPr>
      <w:r w:rsidRPr="00A32680">
        <w:rPr>
          <w:sz w:val="24"/>
          <w:szCs w:val="24"/>
        </w:rPr>
        <w:t>Ábatasamningurinn virkar þannig að sú upphæð sem verktaki fær þá greidda er 20% af samningsupphæð +20% af því sem eftir er, þ.e. 2,0 m.kr + 20% af 8,0 m.kr = 3,6 m.kr</w:t>
      </w:r>
    </w:p>
    <w:p w:rsidR="005E22B0" w:rsidRPr="00A32680" w:rsidRDefault="005E22B0" w:rsidP="00A32680">
      <w:pPr>
        <w:autoSpaceDE w:val="0"/>
        <w:autoSpaceDN w:val="0"/>
        <w:adjustRightInd w:val="0"/>
        <w:spacing w:after="120" w:line="240" w:lineRule="auto"/>
        <w:ind w:left="709" w:hanging="1"/>
        <w:rPr>
          <w:sz w:val="24"/>
          <w:szCs w:val="24"/>
        </w:rPr>
      </w:pPr>
      <w:r w:rsidRPr="00A32680">
        <w:rPr>
          <w:sz w:val="24"/>
          <w:szCs w:val="24"/>
        </w:rPr>
        <w:t>Lágmarksgreiðsla pr. uppgjör verður þá þessi upphæð deilt með fjölda gjalddaga eða 3,6 m.kr/14 = 257.153 þ.kr.</w:t>
      </w:r>
    </w:p>
    <w:p w:rsidR="005E22B0" w:rsidRPr="00A32680" w:rsidRDefault="005E22B0" w:rsidP="00A32680">
      <w:pPr>
        <w:autoSpaceDE w:val="0"/>
        <w:autoSpaceDN w:val="0"/>
        <w:adjustRightInd w:val="0"/>
        <w:spacing w:after="120" w:line="240" w:lineRule="auto"/>
        <w:ind w:left="709" w:hanging="1"/>
        <w:rPr>
          <w:sz w:val="24"/>
          <w:szCs w:val="24"/>
        </w:rPr>
      </w:pPr>
    </w:p>
    <w:p w:rsidR="005E22B0" w:rsidRPr="00A32680" w:rsidRDefault="005E22B0" w:rsidP="00A32680">
      <w:pPr>
        <w:autoSpaceDE w:val="0"/>
        <w:autoSpaceDN w:val="0"/>
        <w:adjustRightInd w:val="0"/>
        <w:spacing w:after="120" w:line="240" w:lineRule="auto"/>
        <w:ind w:left="709" w:hanging="1"/>
        <w:rPr>
          <w:sz w:val="24"/>
          <w:szCs w:val="24"/>
        </w:rPr>
      </w:pPr>
      <w:r w:rsidRPr="00A32680">
        <w:rPr>
          <w:sz w:val="24"/>
          <w:szCs w:val="24"/>
        </w:rPr>
        <w:t>Í reikniverkinu er þannig innbyggður sérstakur jöfnunarreikningur sem heldur utan um þessar greiðslur.</w:t>
      </w:r>
    </w:p>
    <w:p w:rsidR="007C71EA" w:rsidRPr="007C71EA" w:rsidRDefault="007C71EA" w:rsidP="00A32680">
      <w:pPr>
        <w:autoSpaceDE w:val="0"/>
        <w:autoSpaceDN w:val="0"/>
        <w:adjustRightInd w:val="0"/>
        <w:spacing w:after="120" w:line="240" w:lineRule="auto"/>
        <w:ind w:left="709" w:hanging="1"/>
        <w:rPr>
          <w:sz w:val="24"/>
          <w:szCs w:val="24"/>
        </w:rPr>
      </w:pPr>
    </w:p>
    <w:p w:rsidR="00263E32" w:rsidRDefault="005E22B0" w:rsidP="005E22B0">
      <w:pPr>
        <w:ind w:left="709"/>
        <w:rPr>
          <w:sz w:val="24"/>
          <w:szCs w:val="24"/>
        </w:rPr>
      </w:pPr>
      <w:r w:rsidRPr="007C71EA">
        <w:rPr>
          <w:noProof/>
          <w:szCs w:val="24"/>
          <w:lang w:eastAsia="is-IS"/>
        </w:rPr>
        <w:lastRenderedPageBreak/>
        <w:drawing>
          <wp:inline distT="0" distB="0" distL="0" distR="0">
            <wp:extent cx="4848225" cy="4960264"/>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848225" cy="4960264"/>
                    </a:xfrm>
                    <a:prstGeom prst="rect">
                      <a:avLst/>
                    </a:prstGeom>
                    <a:noFill/>
                    <a:ln w="9525">
                      <a:noFill/>
                      <a:miter lim="800000"/>
                      <a:headEnd/>
                      <a:tailEnd/>
                    </a:ln>
                  </pic:spPr>
                </pic:pic>
              </a:graphicData>
            </a:graphic>
          </wp:inline>
        </w:drawing>
      </w:r>
      <w:r w:rsidR="00263E32">
        <w:rPr>
          <w:sz w:val="24"/>
          <w:szCs w:val="24"/>
        </w:rPr>
        <w:br w:type="page"/>
      </w:r>
    </w:p>
    <w:p w:rsidR="00263E32" w:rsidRPr="00263E32" w:rsidRDefault="007C71EA" w:rsidP="005E22B0">
      <w:pPr>
        <w:ind w:left="709"/>
        <w:rPr>
          <w:sz w:val="24"/>
          <w:szCs w:val="24"/>
        </w:rPr>
      </w:pPr>
      <w:r w:rsidRPr="007C71EA">
        <w:rPr>
          <w:noProof/>
          <w:szCs w:val="24"/>
          <w:lang w:eastAsia="is-IS"/>
        </w:rPr>
        <w:lastRenderedPageBreak/>
        <w:drawing>
          <wp:inline distT="0" distB="0" distL="0" distR="0">
            <wp:extent cx="5224201" cy="9010650"/>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230933" cy="9022261"/>
                    </a:xfrm>
                    <a:prstGeom prst="rect">
                      <a:avLst/>
                    </a:prstGeom>
                    <a:noFill/>
                    <a:ln w="9525">
                      <a:noFill/>
                      <a:miter lim="800000"/>
                      <a:headEnd/>
                      <a:tailEnd/>
                    </a:ln>
                  </pic:spPr>
                </pic:pic>
              </a:graphicData>
            </a:graphic>
          </wp:inline>
        </w:drawing>
      </w:r>
    </w:p>
    <w:sectPr w:rsidR="00263E32" w:rsidRPr="00263E32" w:rsidSect="00475D0F">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F4E" w:rsidRDefault="00480F4E" w:rsidP="00480F4E">
      <w:pPr>
        <w:spacing w:after="0" w:line="240" w:lineRule="auto"/>
      </w:pPr>
      <w:r>
        <w:separator/>
      </w:r>
    </w:p>
  </w:endnote>
  <w:endnote w:type="continuationSeparator" w:id="0">
    <w:p w:rsidR="00480F4E" w:rsidRDefault="00480F4E" w:rsidP="00480F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F4E" w:rsidRDefault="00480F4E">
    <w:pPr>
      <w:pStyle w:val="Footer"/>
    </w:pPr>
    <w:r>
      <w:rPr>
        <w:rFonts w:asciiTheme="majorHAnsi" w:hAnsiTheme="majorHAnsi" w:cstheme="majorHAnsi"/>
      </w:rPr>
      <w:t>29.</w:t>
    </w:r>
    <w:r w:rsidR="00ED10AE">
      <w:rPr>
        <w:rFonts w:asciiTheme="majorHAnsi" w:hAnsiTheme="majorHAnsi" w:cstheme="majorHAnsi"/>
      </w:rPr>
      <w:t xml:space="preserve"> </w:t>
    </w:r>
    <w:r>
      <w:rPr>
        <w:rFonts w:asciiTheme="majorHAnsi" w:hAnsiTheme="majorHAnsi" w:cstheme="majorHAnsi"/>
      </w:rPr>
      <w:t>okt. 2010</w:t>
    </w:r>
    <w:r>
      <w:rPr>
        <w:rFonts w:asciiTheme="majorHAnsi" w:hAnsiTheme="majorHAnsi" w:cstheme="majorHAnsi"/>
      </w:rPr>
      <w:ptab w:relativeTo="margin" w:alignment="right" w:leader="none"/>
    </w:r>
    <w:r>
      <w:rPr>
        <w:rFonts w:asciiTheme="majorHAnsi" w:hAnsiTheme="majorHAnsi" w:cstheme="majorHAnsi"/>
      </w:rPr>
      <w:t xml:space="preserve">síða </w:t>
    </w:r>
    <w:fldSimple w:instr=" PAGE   \* MERGEFORMAT ">
      <w:r w:rsidR="00ED10AE" w:rsidRPr="00ED10AE">
        <w:rPr>
          <w:rFonts w:asciiTheme="majorHAnsi" w:hAnsiTheme="majorHAnsi" w:cstheme="majorHAnsi"/>
          <w:noProof/>
        </w:rPr>
        <w:t>3</w:t>
      </w:r>
    </w:fldSimple>
    <w:r w:rsidRPr="006D357E">
      <w:rPr>
        <w:noProof/>
        <w:lang w:val="en-US" w:eastAsia="zh-TW"/>
      </w:rPr>
      <w:pict>
        <v:group id="_x0000_s2051" style="position:absolute;margin-left:0;margin-top:0;width:611.15pt;height:64.75pt;flip:y;z-index:251662336;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3" style="position:absolute;left:8;top:9;width:4031;height:1439;mso-width-percent:400;mso-height-percent:1000;mso-width-percent:400;mso-height-percent:1000;mso-width-relative:margin;mso-height-relative:bottom-margin-area" filled="f" stroked="f"/>
          <w10:wrap anchorx="page" anchory="page"/>
        </v:group>
      </w:pict>
    </w:r>
    <w:r w:rsidRPr="006D357E">
      <w:rPr>
        <w:noProof/>
        <w:lang w:val="en-US" w:eastAsia="zh-TW"/>
      </w:rPr>
      <w:pict>
        <v:rect id="_x0000_s2050" style="position:absolute;margin-left:0;margin-top:0;width:7.15pt;height:63.95pt;z-index:251661312;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sidRPr="006D357E">
      <w:rPr>
        <w:noProof/>
        <w:lang w:val="en-US" w:eastAsia="zh-TW"/>
      </w:rPr>
      <w:pict>
        <v:rect id="_x0000_s2049" style="position:absolute;margin-left:0;margin-top:0;width:7.15pt;height:63.95pt;z-index:251660288;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r>
      <w:t xml:space="preserve"> af </w:t>
    </w:r>
    <w:fldSimple w:instr=" NUMPAGES  \* Arabic  \* MERGEFORMAT ">
      <w:r w:rsidR="00ED10AE">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F4E" w:rsidRDefault="00480F4E" w:rsidP="00480F4E">
      <w:pPr>
        <w:spacing w:after="0" w:line="240" w:lineRule="auto"/>
      </w:pPr>
      <w:r>
        <w:separator/>
      </w:r>
    </w:p>
  </w:footnote>
  <w:footnote w:type="continuationSeparator" w:id="0">
    <w:p w:rsidR="00480F4E" w:rsidRDefault="00480F4E" w:rsidP="00480F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13C5B"/>
    <w:multiLevelType w:val="hybridMultilevel"/>
    <w:tmpl w:val="5982581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nsid w:val="3810050A"/>
    <w:multiLevelType w:val="hybridMultilevel"/>
    <w:tmpl w:val="A864AB72"/>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nsid w:val="44ED7809"/>
    <w:multiLevelType w:val="hybridMultilevel"/>
    <w:tmpl w:val="60D8CDEC"/>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4"/>
    <o:shapelayout v:ext="edit">
      <o:idmap v:ext="edit" data="2"/>
      <o:rules v:ext="edit">
        <o:r id="V:Rule1" type="connector" idref="#_x0000_s2052"/>
      </o:rules>
    </o:shapelayout>
  </w:hdrShapeDefaults>
  <w:footnotePr>
    <w:footnote w:id="-1"/>
    <w:footnote w:id="0"/>
  </w:footnotePr>
  <w:endnotePr>
    <w:endnote w:id="-1"/>
    <w:endnote w:id="0"/>
  </w:endnotePr>
  <w:compat/>
  <w:rsids>
    <w:rsidRoot w:val="00DB44E8"/>
    <w:rsid w:val="00020DF9"/>
    <w:rsid w:val="001E10A4"/>
    <w:rsid w:val="00263E32"/>
    <w:rsid w:val="002720A3"/>
    <w:rsid w:val="00276CBB"/>
    <w:rsid w:val="0029007A"/>
    <w:rsid w:val="00413BB1"/>
    <w:rsid w:val="00475D0F"/>
    <w:rsid w:val="00480F4E"/>
    <w:rsid w:val="005E22B0"/>
    <w:rsid w:val="00642187"/>
    <w:rsid w:val="006737E2"/>
    <w:rsid w:val="00700C30"/>
    <w:rsid w:val="00744B08"/>
    <w:rsid w:val="007C059B"/>
    <w:rsid w:val="007C71EA"/>
    <w:rsid w:val="0089323A"/>
    <w:rsid w:val="0089419F"/>
    <w:rsid w:val="008B11BB"/>
    <w:rsid w:val="008B208F"/>
    <w:rsid w:val="008E4E89"/>
    <w:rsid w:val="008F531A"/>
    <w:rsid w:val="009A75DF"/>
    <w:rsid w:val="009E3CB5"/>
    <w:rsid w:val="00A32680"/>
    <w:rsid w:val="00A5398B"/>
    <w:rsid w:val="00B4600E"/>
    <w:rsid w:val="00BF4A6C"/>
    <w:rsid w:val="00C06D03"/>
    <w:rsid w:val="00CE4946"/>
    <w:rsid w:val="00CF0357"/>
    <w:rsid w:val="00D5718B"/>
    <w:rsid w:val="00D95BAD"/>
    <w:rsid w:val="00DB44E8"/>
    <w:rsid w:val="00ED10AE"/>
    <w:rsid w:val="00F86B6B"/>
    <w:rsid w:val="00FB5BDF"/>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D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4E8"/>
    <w:pPr>
      <w:ind w:left="720"/>
      <w:contextualSpacing/>
    </w:pPr>
  </w:style>
  <w:style w:type="paragraph" w:styleId="BalloonText">
    <w:name w:val="Balloon Text"/>
    <w:basedOn w:val="Normal"/>
    <w:link w:val="BalloonTextChar"/>
    <w:uiPriority w:val="99"/>
    <w:semiHidden/>
    <w:unhideWhenUsed/>
    <w:rsid w:val="00263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E32"/>
    <w:rPr>
      <w:rFonts w:ascii="Tahoma" w:hAnsi="Tahoma" w:cs="Tahoma"/>
      <w:sz w:val="16"/>
      <w:szCs w:val="16"/>
    </w:rPr>
  </w:style>
  <w:style w:type="paragraph" w:styleId="Header">
    <w:name w:val="header"/>
    <w:basedOn w:val="Normal"/>
    <w:link w:val="HeaderChar"/>
    <w:uiPriority w:val="99"/>
    <w:semiHidden/>
    <w:unhideWhenUsed/>
    <w:rsid w:val="00480F4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80F4E"/>
  </w:style>
  <w:style w:type="paragraph" w:styleId="Footer">
    <w:name w:val="footer"/>
    <w:basedOn w:val="Normal"/>
    <w:link w:val="FooterChar"/>
    <w:uiPriority w:val="99"/>
    <w:semiHidden/>
    <w:unhideWhenUsed/>
    <w:rsid w:val="00480F4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80F4E"/>
  </w:style>
</w:styles>
</file>

<file path=word/webSettings.xml><?xml version="1.0" encoding="utf-8"?>
<w:webSettings xmlns:r="http://schemas.openxmlformats.org/officeDocument/2006/relationships" xmlns:w="http://schemas.openxmlformats.org/wordprocessingml/2006/main">
  <w:divs>
    <w:div w:id="190390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8A96E-B99B-495F-ADD8-272E1704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Vegagerðin</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Einar Gíslason</dc:creator>
  <cp:keywords/>
  <dc:description/>
  <cp:lastModifiedBy>Einar Gíslason</cp:lastModifiedBy>
  <cp:revision>4</cp:revision>
  <cp:lastPrinted>2010-10-14T14:45:00Z</cp:lastPrinted>
  <dcterms:created xsi:type="dcterms:W3CDTF">2010-10-29T14:23:00Z</dcterms:created>
  <dcterms:modified xsi:type="dcterms:W3CDTF">2010-10-29T14:58:00Z</dcterms:modified>
</cp:coreProperties>
</file>