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F68B4B" w14:textId="77777777" w:rsidR="008B0DB0" w:rsidRPr="008B0DB0" w:rsidRDefault="008B0DB0">
          <w:pPr>
            <w:pStyle w:val="Fyrirsgnefnisyfirlits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14:paraId="1B338912" w14:textId="227DF808" w:rsidR="00CC5F2A" w:rsidRDefault="008B0DB0">
          <w:pPr>
            <w:pStyle w:val="Efnisyfirlit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485119" w:history="1">
            <w:r w:rsidR="00CC5F2A" w:rsidRPr="00300751">
              <w:rPr>
                <w:rStyle w:val="Tengill"/>
                <w:noProof/>
              </w:rPr>
              <w:t>Uppspenna og grautun  - Almenn verklýsing</w:t>
            </w:r>
            <w:r w:rsidR="00CC5F2A">
              <w:rPr>
                <w:noProof/>
                <w:webHidden/>
              </w:rPr>
              <w:tab/>
            </w:r>
            <w:r w:rsidR="00CC5F2A">
              <w:rPr>
                <w:noProof/>
                <w:webHidden/>
              </w:rPr>
              <w:fldChar w:fldCharType="begin"/>
            </w:r>
            <w:r w:rsidR="00CC5F2A">
              <w:rPr>
                <w:noProof/>
                <w:webHidden/>
              </w:rPr>
              <w:instrText xml:space="preserve"> PAGEREF _Toc74485119 \h </w:instrText>
            </w:r>
            <w:r w:rsidR="00CC5F2A">
              <w:rPr>
                <w:noProof/>
                <w:webHidden/>
              </w:rPr>
            </w:r>
            <w:r w:rsidR="00CC5F2A">
              <w:rPr>
                <w:noProof/>
                <w:webHidden/>
              </w:rPr>
              <w:fldChar w:fldCharType="separate"/>
            </w:r>
            <w:r w:rsidR="00CC5F2A">
              <w:rPr>
                <w:noProof/>
                <w:webHidden/>
              </w:rPr>
              <w:t>1</w:t>
            </w:r>
            <w:r w:rsidR="00CC5F2A">
              <w:rPr>
                <w:noProof/>
                <w:webHidden/>
              </w:rPr>
              <w:fldChar w:fldCharType="end"/>
            </w:r>
          </w:hyperlink>
        </w:p>
        <w:p w14:paraId="231E4850" w14:textId="448909FC" w:rsidR="00CC5F2A" w:rsidRDefault="004C1129">
          <w:pPr>
            <w:pStyle w:val="Efnisyfirlit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5120" w:history="1">
            <w:r w:rsidR="00CC5F2A" w:rsidRPr="00300751">
              <w:rPr>
                <w:rStyle w:val="Tengill"/>
                <w:noProof/>
              </w:rPr>
              <w:t>84.37</w:t>
            </w:r>
            <w:r w:rsidR="00CC5F2A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CC5F2A" w:rsidRPr="00300751">
              <w:rPr>
                <w:rStyle w:val="Tengill"/>
                <w:noProof/>
              </w:rPr>
              <w:t xml:space="preserve"> Uppspenna og grautun</w:t>
            </w:r>
            <w:r w:rsidR="00CC5F2A">
              <w:rPr>
                <w:noProof/>
                <w:webHidden/>
              </w:rPr>
              <w:tab/>
            </w:r>
            <w:r w:rsidR="00CC5F2A">
              <w:rPr>
                <w:noProof/>
                <w:webHidden/>
              </w:rPr>
              <w:fldChar w:fldCharType="begin"/>
            </w:r>
            <w:r w:rsidR="00CC5F2A">
              <w:rPr>
                <w:noProof/>
                <w:webHidden/>
              </w:rPr>
              <w:instrText xml:space="preserve"> PAGEREF _Toc74485120 \h </w:instrText>
            </w:r>
            <w:r w:rsidR="00CC5F2A">
              <w:rPr>
                <w:noProof/>
                <w:webHidden/>
              </w:rPr>
            </w:r>
            <w:r w:rsidR="00CC5F2A">
              <w:rPr>
                <w:noProof/>
                <w:webHidden/>
              </w:rPr>
              <w:fldChar w:fldCharType="separate"/>
            </w:r>
            <w:r w:rsidR="00CC5F2A">
              <w:rPr>
                <w:noProof/>
                <w:webHidden/>
              </w:rPr>
              <w:t>5</w:t>
            </w:r>
            <w:r w:rsidR="00CC5F2A">
              <w:rPr>
                <w:noProof/>
                <w:webHidden/>
              </w:rPr>
              <w:fldChar w:fldCharType="end"/>
            </w:r>
          </w:hyperlink>
        </w:p>
        <w:p w14:paraId="2737A80F" w14:textId="5BC8F78F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1D370006" w14:textId="77777777" w:rsidR="00AC23BC" w:rsidRPr="0047272B" w:rsidRDefault="001C448F" w:rsidP="00D21EC6">
      <w:pPr>
        <w:pStyle w:val="Fyrirsgn3"/>
        <w:tabs>
          <w:tab w:val="clear" w:pos="1134"/>
        </w:tabs>
        <w:ind w:left="0"/>
        <w:rPr>
          <w:color w:val="auto"/>
        </w:rPr>
      </w:pPr>
      <w:bookmarkStart w:id="1" w:name="_Toc74485119"/>
      <w:bookmarkStart w:id="2" w:name="_Toc452705335"/>
      <w:bookmarkStart w:id="3" w:name="_Toc483844210"/>
      <w:bookmarkEnd w:id="0"/>
      <w:r>
        <w:rPr>
          <w:color w:val="auto"/>
        </w:rPr>
        <w:t>Uppspenna og grautun</w:t>
      </w:r>
      <w:r w:rsidR="006F36E7">
        <w:rPr>
          <w:color w:val="auto"/>
        </w:rPr>
        <w:t xml:space="preserve">  -</w:t>
      </w:r>
      <w:r w:rsidR="006F36E7" w:rsidRPr="006F36E7">
        <w:rPr>
          <w:color w:val="auto"/>
        </w:rPr>
        <w:t xml:space="preserve"> </w:t>
      </w:r>
      <w:r w:rsidR="006F36E7" w:rsidRPr="0047272B">
        <w:rPr>
          <w:color w:val="auto"/>
        </w:rPr>
        <w:t>Almenn verklýsing</w:t>
      </w:r>
      <w:bookmarkEnd w:id="1"/>
      <w:r w:rsidR="006F36E7">
        <w:rPr>
          <w:color w:val="auto"/>
        </w:rPr>
        <w:t xml:space="preserve"> </w:t>
      </w:r>
      <w:r w:rsidR="006F36E7" w:rsidRPr="0047272B">
        <w:rPr>
          <w:color w:val="auto"/>
        </w:rPr>
        <w:t xml:space="preserve"> </w:t>
      </w:r>
      <w:bookmarkEnd w:id="2"/>
      <w:bookmarkEnd w:id="3"/>
    </w:p>
    <w:p w14:paraId="62089EF9" w14:textId="77777777" w:rsidR="006F36E7" w:rsidRPr="00B10640" w:rsidRDefault="006F36E7" w:rsidP="006F36E7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Verksvið</w:t>
      </w:r>
    </w:p>
    <w:p w14:paraId="7FC7AA84" w14:textId="77777777" w:rsidR="001C448F" w:rsidRPr="001C448F" w:rsidRDefault="002A2DEF" w:rsidP="002316A3">
      <w:pPr>
        <w:pStyle w:val="Liurtexti"/>
      </w:pPr>
      <w:r>
        <w:t>Í v</w:t>
      </w:r>
      <w:r w:rsidR="001C448F" w:rsidRPr="001C448F">
        <w:t>erkþ</w:t>
      </w:r>
      <w:r>
        <w:t xml:space="preserve">ætti er </w:t>
      </w:r>
      <w:r w:rsidR="001C448F" w:rsidRPr="001C448F">
        <w:t>innif</w:t>
      </w:r>
      <w:r>
        <w:t>alinn</w:t>
      </w:r>
      <w:r w:rsidR="001C448F" w:rsidRPr="001C448F">
        <w:t xml:space="preserve"> all</w:t>
      </w:r>
      <w:r>
        <w:t>ur</w:t>
      </w:r>
      <w:r w:rsidR="001C448F" w:rsidRPr="001C448F">
        <w:t xml:space="preserve"> kostnað, efni, vinn</w:t>
      </w:r>
      <w:r>
        <w:t>a</w:t>
      </w:r>
      <w:r w:rsidR="001C448F" w:rsidRPr="001C448F">
        <w:t xml:space="preserve"> og flutning</w:t>
      </w:r>
      <w:r>
        <w:t>ur</w:t>
      </w:r>
      <w:r w:rsidR="001C448F" w:rsidRPr="001C448F">
        <w:t xml:space="preserve"> efnis vegna uppspennu og grautunar </w:t>
      </w:r>
      <w:r w:rsidR="001C448F">
        <w:t>kapla,</w:t>
      </w:r>
      <w:r w:rsidR="001C448F" w:rsidRPr="001C448F">
        <w:t xml:space="preserve"> þ.m.t.: Flutningur og uppsetning spenni- og grautunarbúnaðar, kostnaður vegna nauðsynlegra prófana ásamt fyllingu úrtaka við kapalfestingar.</w:t>
      </w:r>
    </w:p>
    <w:p w14:paraId="29E59805" w14:textId="77777777" w:rsidR="006F36E7" w:rsidRPr="00633A30" w:rsidRDefault="006F36E7" w:rsidP="00633A30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633A30">
        <w:rPr>
          <w:b/>
          <w:bCs/>
          <w:iCs/>
          <w:szCs w:val="26"/>
        </w:rPr>
        <w:t>Efniskröfur</w:t>
      </w:r>
    </w:p>
    <w:p w14:paraId="62C86CCC" w14:textId="77777777" w:rsidR="00F525EA" w:rsidRDefault="00657005" w:rsidP="00F525EA">
      <w:pPr>
        <w:pStyle w:val="Liurtexti"/>
        <w:jc w:val="left"/>
      </w:pPr>
      <w:r w:rsidRPr="009C5115">
        <w:t>Vellingur til grautunar skal uppfylla kröfur um hlutefni, samsetningu og eiginleika í ÍST EN 447</w:t>
      </w:r>
      <w:r w:rsidR="00F525EA" w:rsidRPr="00F525EA">
        <w:t xml:space="preserve"> </w:t>
      </w:r>
      <w:r w:rsidRPr="009C5115">
        <w:t>kafla 6 þegar hann er prófaður skv. ÍST EN 445 kafla 4.</w:t>
      </w:r>
      <w:r w:rsidRPr="009C5115">
        <w:br/>
        <w:t>Kröfur um óæskileg efni:</w:t>
      </w:r>
      <w:r w:rsidRPr="009C5115">
        <w:br/>
        <w:t>Cl-&lt; 0,10% af sementsþunganum.</w:t>
      </w:r>
    </w:p>
    <w:p w14:paraId="7C955636" w14:textId="77777777" w:rsidR="00F525EA" w:rsidRDefault="00657005" w:rsidP="00F525EA">
      <w:pPr>
        <w:pStyle w:val="Liurtexti"/>
        <w:jc w:val="left"/>
      </w:pPr>
      <w:r w:rsidRPr="009C5115">
        <w:t>SO3&lt; 4,5% af sementsþunganum.</w:t>
      </w:r>
    </w:p>
    <w:p w14:paraId="50B5121B" w14:textId="77777777" w:rsidR="00F525EA" w:rsidRDefault="00657005" w:rsidP="00F525EA">
      <w:pPr>
        <w:pStyle w:val="Liurtexti"/>
        <w:jc w:val="left"/>
      </w:pPr>
      <w:r w:rsidRPr="009C5115">
        <w:t>S2-jónir&lt;0,01% af sementsþunganum.</w:t>
      </w:r>
    </w:p>
    <w:p w14:paraId="56A5AF3E" w14:textId="77777777" w:rsidR="00F525EA" w:rsidRDefault="00657005" w:rsidP="00F525EA">
      <w:pPr>
        <w:pStyle w:val="Liurtexti"/>
        <w:jc w:val="left"/>
      </w:pPr>
      <w:r w:rsidRPr="009C5115">
        <w:t>Vellingur skal vera laus við kekki í sigtiprófi.</w:t>
      </w:r>
    </w:p>
    <w:p w14:paraId="263693B0" w14:textId="2D40CA8C" w:rsidR="00657005" w:rsidRPr="009C5115" w:rsidRDefault="00657005" w:rsidP="00F525EA">
      <w:pPr>
        <w:pStyle w:val="Liurtexti"/>
        <w:jc w:val="left"/>
      </w:pPr>
      <w:r w:rsidRPr="009C5115">
        <w:t>Kröfur til flæðis vellings:</w:t>
      </w:r>
    </w:p>
    <w:tbl>
      <w:tblPr>
        <w:tblW w:w="9434" w:type="dxa"/>
        <w:tblInd w:w="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635"/>
      </w:tblGrid>
      <w:tr w:rsidR="00657005" w:rsidRPr="009C5115" w14:paraId="4F33D208" w14:textId="77777777" w:rsidTr="004E048E">
        <w:trPr>
          <w:trHeight w:val="11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FB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Prófunaraðferð skv.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EN 445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6174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Mælt gildi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50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Krafa: Strax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að blöndun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lokinni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694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30 mín. eftir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blöndun í hrærivél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eða skv. leið-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beiningum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 xml:space="preserve">framleiðanda 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sz w:val="14"/>
                <w:szCs w:val="14"/>
                <w:lang w:eastAsia="is-IS"/>
              </w:rPr>
              <w:t>1)</w:t>
            </w:r>
          </w:p>
        </w:tc>
      </w:tr>
      <w:tr w:rsidR="00657005" w:rsidRPr="009C5115" w14:paraId="2C89E174" w14:textId="77777777" w:rsidTr="004E048E">
        <w:trPr>
          <w:trHeight w:val="4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A9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 um trekt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87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Tími í 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443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>0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≤25 s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FA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1,2 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0,8 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og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br/>
              <w:t>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≤25 s</w:t>
            </w:r>
          </w:p>
        </w:tc>
      </w:tr>
      <w:tr w:rsidR="00657005" w:rsidRPr="009C5115" w14:paraId="5F61D42F" w14:textId="77777777" w:rsidTr="004E048E">
        <w:trPr>
          <w:trHeight w:val="4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C0F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 próf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F8C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a=meðalþvermál flæðis í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br/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F2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140 mm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423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1,2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0,8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>0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br/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og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≥140 mm</w:t>
            </w:r>
          </w:p>
        </w:tc>
      </w:tr>
    </w:tbl>
    <w:p w14:paraId="0B1FDB17" w14:textId="77777777" w:rsidR="00DB3785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Vatnsaðkilnaður skal ekki vera meiri en 0,3% eftir 3 klst. í Wick prófi.</w:t>
      </w:r>
    </w:p>
    <w:p w14:paraId="1DE5A640" w14:textId="77777777" w:rsidR="009D439A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Rúmmálsbreyting skal eftir 24 klst. í Wick prófi vera á bilinu -1% til+5%,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Styrkur á hörðnuðum vellingi skal ekki vera lægri en 30 MPa eftir 28 daga eða 27 MPa eftir 7</w:t>
      </w:r>
      <w:r w:rsidR="00DB37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daga.</w:t>
      </w:r>
    </w:p>
    <w:p w14:paraId="2E153F83" w14:textId="77777777" w:rsidR="009D439A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Storknun vellings mæld skv. EN 196-3. Vellingurinn skal ekki fara að stirðna fyrr en eftir &gt;3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tíma. Storknun skal lokið eftir &lt; 24 klst. Hvort tveggja er miðað við hitastig sem framleiðandi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vellings segir til um eða mælt er fyrir um.</w:t>
      </w:r>
    </w:p>
    <w:p w14:paraId="1BA054B0" w14:textId="77777777" w:rsidR="007A77A4" w:rsidRDefault="00657005" w:rsidP="00DB3785">
      <w:pPr>
        <w:ind w:left="567"/>
        <w:rPr>
          <w:rFonts w:ascii="Calibri" w:eastAsia="Times New Roman" w:hAnsi="Calibri" w:cs="Calibri"/>
          <w:color w:val="46464B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46464B"/>
          <w:lang w:eastAsia="is-IS"/>
        </w:rPr>
        <w:t xml:space="preserve">V/S hlutfall. </w:t>
      </w:r>
      <w:r w:rsidRPr="009C5115">
        <w:rPr>
          <w:rFonts w:ascii="Calibri" w:eastAsia="Times New Roman" w:hAnsi="Calibri" w:cs="Calibri"/>
          <w:color w:val="46464B"/>
          <w:lang w:eastAsia="is-IS"/>
        </w:rPr>
        <w:t>Hlutfall vatns / sements (v/s-hlutfall) skal vera ≤0,44.</w:t>
      </w:r>
    </w:p>
    <w:p w14:paraId="146B75CB" w14:textId="77777777" w:rsidR="007A77A4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Vellingur getur verið annað hvort blandaður á staðnum eða verksmiðjuframleiddur.</w:t>
      </w:r>
    </w:p>
    <w:p w14:paraId="680150E9" w14:textId="77777777" w:rsidR="007A77A4" w:rsidRDefault="00657005" w:rsidP="00DB3785">
      <w:pPr>
        <w:ind w:left="567"/>
        <w:rPr>
          <w:rFonts w:ascii="Calibri-Bold" w:eastAsia="Times New Roman" w:hAnsi="Calibri-Bold" w:cs="Times New Roman"/>
          <w:b/>
          <w:bCs/>
          <w:color w:val="46464B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46464B"/>
          <w:lang w:eastAsia="is-IS"/>
        </w:rPr>
        <w:t>Vellingur blandaður á staðnum:</w:t>
      </w:r>
    </w:p>
    <w:p w14:paraId="2DA44B35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lastRenderedPageBreak/>
        <w:t>Blöndunarhlutföll vellings, sem blandaður er á staðnum, ákveðast í samráði við eftirlitið en</w:t>
      </w:r>
      <w:r w:rsidR="00A14F17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eftirfarandi þyngdarhlutföll skulu í höfuðatriðum lögð til grundvallar:</w:t>
      </w:r>
    </w:p>
    <w:p w14:paraId="01CE31B9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Sement: 1</w:t>
      </w:r>
    </w:p>
    <w:p w14:paraId="4E67FCE3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Vatn: 0,40 ±0,04</w:t>
      </w:r>
    </w:p>
    <w:p w14:paraId="4A59C8AD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 skal vera samkvæmt upplýsingum framleiðanda.</w:t>
      </w:r>
    </w:p>
    <w:p w14:paraId="02716C31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Vellingur á að vera gerður úr sementi, vatni, íaukum og íblendi. Efni sem notuð eru skulu vera</w:t>
      </w:r>
      <w:r w:rsidR="00A14F17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þannig að ofangreindar kröfur verði uppfylltar.</w:t>
      </w:r>
    </w:p>
    <w:p w14:paraId="1BD8E9BE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Sement.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 skal vera skv. ÍST EN 197 af gerðinni CEM I (Portland-sement) eða CEM II/AD (Portland-kísilryksblandað sement).</w:t>
      </w:r>
    </w:p>
    <w:p w14:paraId="444C2D59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Blendivatn.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Blendivatn skal vera í samræmi við ÍST EN 1008.</w:t>
      </w:r>
    </w:p>
    <w:p w14:paraId="07674BD2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Íblendi.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 skulu vera í samræmi við ÍST EN 934-2. Heimilt er að nota eina eða fleiri gerðir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íblendis saman.</w:t>
      </w:r>
    </w:p>
    <w:p w14:paraId="151A0D89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>Íaukar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. Kísilryk má vera í sementi sem notað er í vellinginn, og skal þá uppfylla kröfur skv. ÍST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EN 13263. Notkun áldufts er leyfð í takmörkuðu magni.</w:t>
      </w:r>
    </w:p>
    <w:p w14:paraId="18EB8F23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Forprófun: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Ganga skal úr skugga um í tæka tíð, að eiginleikar vellings, sem blandaður er á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staðnum, séu úr ætluðum efnum til verksins með tækjum sem ætluð er til verksins og unnin með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væntanlegum mannafla sem hentar fyrir ætlaða notkun uppfylli kröfur til vellings í ÍST EN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447:2007. Nauðsynleg próf eru skv. töflu í lið d). hér á eftir.</w:t>
      </w:r>
    </w:p>
    <w:p w14:paraId="3FB70F0B" w14:textId="77777777" w:rsidR="009B4EDB" w:rsidRDefault="00657005" w:rsidP="00DB3785">
      <w:pPr>
        <w:ind w:left="567"/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>Verksmiðjuframleiddur vellingur:</w:t>
      </w:r>
    </w:p>
    <w:p w14:paraId="703A2F92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Verksmiðjuframleiddan velling þarf ekki að forprófa geti framleiðandi sýnt fram á að hann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uppfylli allar kröfur í stöðlum ÍST EN 445, 446 og 447.</w:t>
      </w:r>
    </w:p>
    <w:p w14:paraId="28948B65" w14:textId="15D0397D" w:rsidR="00F802FE" w:rsidRPr="00F802FE" w:rsidRDefault="00F802FE" w:rsidP="009B4EDB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Vinnugæði</w:t>
      </w:r>
    </w:p>
    <w:p w14:paraId="65B458B0" w14:textId="705A1E25" w:rsidR="001C448F" w:rsidRPr="001C448F" w:rsidRDefault="00750555" w:rsidP="002316A3">
      <w:pPr>
        <w:widowControl w:val="0"/>
        <w:tabs>
          <w:tab w:val="clear" w:pos="1134"/>
        </w:tabs>
        <w:spacing w:before="0" w:after="40" w:line="240" w:lineRule="atLeast"/>
        <w:ind w:left="567"/>
        <w:jc w:val="both"/>
        <w:rPr>
          <w:rFonts w:cs="Times New Roman"/>
          <w:sz w:val="22"/>
          <w:lang w:eastAsia="is-IS"/>
        </w:rPr>
      </w:pPr>
      <w:r>
        <w:rPr>
          <w:rFonts w:cs="Times New Roman"/>
          <w:b/>
          <w:sz w:val="22"/>
          <w:lang w:eastAsia="is-IS"/>
        </w:rPr>
        <w:t>Uppspenna</w:t>
      </w:r>
      <w:r w:rsidR="001C448F" w:rsidRPr="001C448F">
        <w:rPr>
          <w:rFonts w:cs="Times New Roman"/>
          <w:b/>
          <w:sz w:val="22"/>
          <w:lang w:eastAsia="is-IS"/>
        </w:rPr>
        <w:t>:</w:t>
      </w:r>
      <w:r w:rsidR="001C448F" w:rsidRPr="001C448F">
        <w:rPr>
          <w:rFonts w:cs="Times New Roman"/>
          <w:sz w:val="22"/>
          <w:lang w:eastAsia="is-IS"/>
        </w:rPr>
        <w:t xml:space="preserve"> </w:t>
      </w:r>
    </w:p>
    <w:p w14:paraId="76B510A3" w14:textId="77777777" w:rsidR="00F77B13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Spennibúnaður skal vera í samræmi við spennilista.</w:t>
      </w:r>
    </w:p>
    <w:p w14:paraId="71C0A49C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Uppspennutjakkur skal vera með vikmörk innan 2%, sem skal sannreyna með vottuðum mælum,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minnst einu sinni á hverju ári. Ef grunsemdir vakna um að mælibúnaðurinn hafi fengið óheppilega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meðferð, högg, hristing eða of mikið álag o.fl., skal endurtaka sannprófun þeirra.</w:t>
      </w:r>
    </w:p>
    <w:p w14:paraId="5270AA35" w14:textId="1B90FEA3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Uppspennu skal framkvæma í samræmi við spennilista, sem </w:t>
      </w:r>
      <w:r w:rsidR="003D7859">
        <w:rPr>
          <w:rFonts w:ascii="TimesNewRomanPSMT" w:eastAsia="Times New Roman" w:hAnsi="TimesNewRomanPSMT" w:cs="Times New Roman"/>
          <w:color w:val="46464B"/>
          <w:lang w:eastAsia="is-IS"/>
        </w:rPr>
        <w:t>verkkaupi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 leggur fram. Þar er m.a.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kveðið á um hvaða tæki skulu notuð, í hvaða röð kaplar eru spenntir, 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3D7859">
        <w:rPr>
          <w:rFonts w:ascii="TimesNewRomanPSMT" w:eastAsia="Times New Roman" w:hAnsi="TimesNewRomanPSMT" w:cs="Times New Roman"/>
          <w:color w:val="46464B"/>
          <w:lang w:eastAsia="is-IS"/>
        </w:rPr>
        <w:t>u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ppspennukraft, lengingar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víra við uppspennu, mælistöður og mörk aflestra á mælitækjum.</w:t>
      </w:r>
    </w:p>
    <w:p w14:paraId="5E308401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Uppspennu skal framkvæma í samræmi við ÍST EN 13670:2009, grein 7.5. Hún skal framkvæmd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undir verkstjórn manns með nauðsynlega þekkingu á notkun viðkomandi tækjabúnaðar og með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reynslu frá a.m.k. þremur sambærilegum verkum, sjá nánar í CWA 14646. Verktaki skal skila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ferilskrá verkstjóra, þar sem vísað er til sambærilegra verka. Ef mannvirkinu er áfangaskipt skal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koma fram í áætluninni, með ótvíræðum hætti, hvaða framleiðslunúmer strengja verður notað á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hverjum stað í mannvirkinu, eins og það er sýnt á teikningum.</w:t>
      </w:r>
    </w:p>
    <w:p w14:paraId="50AF4842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Uppspenna má byrja þegar steypan hefur náð tilskildum styrk skv. spennilista. Þetta má meta með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útreikningi á steypuþroska eftir hitamælingum í steypunni og/eða styðja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lastRenderedPageBreak/>
        <w:t>niðurstöðuna með því að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brjóta a.m.k. þrjú steypusýni sem geymd eru á verkstað við sömu aðstæður og steypan í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mannvirkinu.</w:t>
      </w:r>
    </w:p>
    <w:p w14:paraId="0C5E4C5D" w14:textId="77777777" w:rsidR="006277E2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Verktaki skal mæla og skrá lengingu strengja og þeirra krafta sem mældir hafa verið á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  <w:t>uppspennulistana og afhenda verkkaupa til rýni. Ef mældar lengdarbreytingar eru umfram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vikmörk uppspennilistanna, skal endurtaka uppspennuna frá byrjun eftir að slakað hefur verið á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köplunum.</w:t>
      </w:r>
    </w:p>
    <w:p w14:paraId="79E9385F" w14:textId="0324885B" w:rsidR="006277E2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Að uppspennu lokinni og þegar verkkaupi hefur yfirfarið spennilistann, og samþykkt hann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skriflega, skal skera enda strengjanna 30-50 mm aftan við lásplötur eða þannig að hægt sé að festa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grautunarlok á akkerin. Strengina skal skera með skurðskífum en ekki loga.</w:t>
      </w:r>
    </w:p>
    <w:p w14:paraId="4384EB58" w14:textId="77777777" w:rsidR="006277E2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000000"/>
          <w:lang w:eastAsia="is-IS"/>
        </w:rPr>
        <w:t>Blöndun á vellingi:</w:t>
      </w:r>
    </w:p>
    <w:p w14:paraId="49560A9A" w14:textId="77777777" w:rsidR="006277E2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Blöndunar- og grautunarbúnaður skal vera í samræmi við ÍST EN 446 kafla 7 og skal henta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spennikerfinu. Varadæla og varablöndunarútbúnaður skulu vera til staðar, eins og nauðsynlegt er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talið. Búnaður til sýnatöku og prófunar á graut skal vera til staðar.</w:t>
      </w:r>
    </w:p>
    <w:p w14:paraId="21555FEF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 skal fara fram í blendi, þannig að hún verði einsleit og stöðug með eiginleika í mjúku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(plastísku) formi. Háð efnis- eða umhverfisþáttum (t.d. hitastigi, formi kapallegu og eiginleikum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sements) á að halda v/s-tölu eins lágri eins og kostur er m.t.t. aðstæðna.</w:t>
      </w:r>
    </w:p>
    <w:p w14:paraId="53B827C7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Vatni skal fyrst blandað í blendinn, því næst sementinu og íblendinu. Blanda má öllu því magni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 vegið hefur verið, bæði sementi og íblendi eða í smáskömmtum, þar til allt er komið í hann.</w:t>
      </w:r>
    </w:p>
    <w:p w14:paraId="79A130BC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Blanda skal velling í magni þannig að örugglega verði til nægilega mikið til að fylla kapalrör, að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teknu tilliti til þess sem fer til spillis. Vellingi skal haldið á stöðugri hreyfingu þegar efni hafa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verið sett í vélina og þar til hann er tilbúinn til ídælingar í ídráttarrörin.</w:t>
      </w:r>
    </w:p>
    <w:p w14:paraId="2C4FD445" w14:textId="77777777" w:rsidR="00EF6545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000000"/>
          <w:lang w:eastAsia="is-IS"/>
        </w:rPr>
        <w:t>Grautun:</w:t>
      </w:r>
    </w:p>
    <w:p w14:paraId="49C9AA40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Ídæling vellings skal fara fram í samræmi við ÍST EN 13670:2009 grein 7.6, kröfum, sem gefnar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eru upp í ÍST EN 446 og leiðbeiningar fib, Bulletin 20, Grouting of tendons in prestressed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concrete.</w:t>
      </w:r>
    </w:p>
    <w:p w14:paraId="34A4BEA0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 og Ídælingu skal framkvæma undir verkstjórn manns með nauðsynlega þekkingu á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framleiðslu vellings, af nauðsynlegum prófunum og vali tækja fyrir verkefnið og með reynslu frá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a.m.k. þremur sambærilegum verkum. Verktaki skal skila ferilskrá verkstjóra, þar sem vísað er til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sambærilegra verka.</w:t>
      </w:r>
    </w:p>
    <w:p w14:paraId="2613EEE0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Ídælingu má ekki byrja fyrr en verkkaupi hefur samþykkt uppspennu kaplanna.</w:t>
      </w:r>
    </w:p>
    <w:p w14:paraId="33FE98E6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Tímanlega fyrir ídælingu skal verktakinn vinna áætlun, þar sem grein er gerð fyrir eftirfarandi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þáttum og afhenda verkkaupa til rýni:</w:t>
      </w:r>
    </w:p>
    <w:p w14:paraId="08DBAA5F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framkvæmd ídælingar.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skiptingu í áfanga til úttektar.</w:t>
      </w:r>
    </w:p>
    <w:p w14:paraId="32178D7B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magn vellings í hvert kapalrör.</w:t>
      </w:r>
    </w:p>
    <w:p w14:paraId="68EEC314" w14:textId="77777777" w:rsidR="00983E85" w:rsidRDefault="00F77B13" w:rsidP="003D7859">
      <w:pPr>
        <w:spacing w:after="0"/>
        <w:ind w:left="709" w:hanging="142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ráðstafanir til að tryggja að kapalrör fyllist með vellingi, e.t.v. með eftirdælingu í tengibox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og akkeri.</w:t>
      </w:r>
    </w:p>
    <w:p w14:paraId="49D6810F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möguleika á spúlun og hreinsun kapalröra, ef óvænt atvik verða við ídælinguna.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útbúnað sem nota skal.</w:t>
      </w:r>
    </w:p>
    <w:p w14:paraId="148B31DC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lastRenderedPageBreak/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varaútbúnað sem skal vera til taks við ídælinguna.</w:t>
      </w:r>
    </w:p>
    <w:p w14:paraId="4ECA540B" w14:textId="6F023F58" w:rsidR="00F77B13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Hitastig við ídælingu skal vera í samræmi við ÍST EN 446:2007, grein 8.3.</w:t>
      </w:r>
    </w:p>
    <w:p w14:paraId="444506CF" w14:textId="77777777" w:rsidR="00865E8F" w:rsidRDefault="00865E8F" w:rsidP="00527E1D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8"/>
        <w:gridCol w:w="3000"/>
        <w:gridCol w:w="3000"/>
      </w:tblGrid>
      <w:tr w:rsidR="00F77B13" w:rsidRPr="009C5115" w14:paraId="65502755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12D2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 xml:space="preserve">Hitastig °C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E08E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 xml:space="preserve">Byggingarhluti °C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4807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>Tímalengd kröfu</w:t>
            </w:r>
          </w:p>
        </w:tc>
      </w:tr>
      <w:tr w:rsidR="00F77B13" w:rsidRPr="009C5115" w14:paraId="518D8F9B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D7AC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Minnst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BA0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3°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B050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48 klst. </w:t>
            </w:r>
            <w:r w:rsidRPr="009C51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s-IS"/>
              </w:rPr>
              <w:t>1)</w:t>
            </w:r>
          </w:p>
        </w:tc>
      </w:tr>
      <w:tr w:rsidR="00F77B13" w:rsidRPr="009C5115" w14:paraId="04E30D3F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D09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Mest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0B67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>35 °</w:t>
            </w:r>
          </w:p>
        </w:tc>
        <w:tc>
          <w:tcPr>
            <w:tcW w:w="0" w:type="auto"/>
            <w:vAlign w:val="center"/>
            <w:hideMark/>
          </w:tcPr>
          <w:p w14:paraId="75742CAE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3824072C" w14:textId="11979960" w:rsidR="00765A22" w:rsidRDefault="00F77B13" w:rsidP="00EB525C">
      <w:pPr>
        <w:pStyle w:val="Li-fyrirsagnir"/>
        <w:numPr>
          <w:ilvl w:val="0"/>
          <w:numId w:val="16"/>
        </w:numPr>
        <w:tabs>
          <w:tab w:val="clear" w:pos="1134"/>
          <w:tab w:val="left" w:pos="142"/>
        </w:tabs>
        <w:rPr>
          <w:rFonts w:ascii="TimesNewRomanPSMT" w:hAnsi="TimesNewRomanPSMT"/>
          <w:b w:val="0"/>
          <w:bCs w:val="0"/>
          <w:color w:val="46464B"/>
          <w:lang w:eastAsia="is-IS"/>
        </w:rPr>
      </w:pP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Ídælingu má ekki framkvæma ef hitastig byggingarhluta er 3°C eða lægra eða ef hitastig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hans er líklegt til að fara niður fyrir 3°C á næstu 48 klst. Framleiðandi gerir e.t.v. stífari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kröfu en 3°C og þá tekur sú krafa yfir. Ef byggingarhlutinn er hitaður upp skal hita hann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upp í 5°C og hærra, ef framleiðandi vellings gerir kröfu um hærra hitastig en 3°C.</w:t>
      </w:r>
    </w:p>
    <w:p w14:paraId="35ADDB26" w14:textId="495ED03D" w:rsidR="003B5A4F" w:rsidRDefault="0030363B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Á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ður en vellingi er dælt í kapalrörin skal gengið úr skugga um að unnt sé að dæla í þau með því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að dæla fyrst í gegnum þau þrýstilofti. Það skal vera laust við olíu. Við útloftunarrör og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kapalfestingar, þar sem ekki er dælt inn um, skal koma fyrir gúmmíi- eða plastslöngu, sem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framlengir útloftun a.m.k. 0,75 m upp fyrir steypuyfirborð.</w:t>
      </w:r>
    </w:p>
    <w:p w14:paraId="66A4CC22" w14:textId="77777777" w:rsidR="009C7FA1" w:rsidRPr="00173FEF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Sementsvellingi er dælt í kapalrör, en áður en ídælingin hefst skal gengið þannig frá kapalendum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að tryggt sé að þeir séu nægjanlega þéttir, svo sementsvellingurinn tapist ekki út, meðfram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lásplötum og láskeilum. Nota skal sérsmíðuð lok sem hylja lásplötu og vírenda en þannig útbúin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að hægt sé að hleypa lofti út. Þegar dæling hefst í rörin skal þess gætt að halda sem jöfnustum</w:t>
      </w:r>
      <w:r w:rsidR="003B5A4F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hraða, eða u.þ.b. 6 til 12 m/mín og skal dælingunni haldið áfram uns jafnt rennsli án loftbólna</w:t>
      </w:r>
      <w:r w:rsidR="009C7FA1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kemur út um útloftunarslöngur. Eftir að dæling hefst í ídráttarrör má ekki stöðva hana.</w:t>
      </w:r>
    </w:p>
    <w:p w14:paraId="418599CA" w14:textId="77777777" w:rsidR="00E4550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 viðmiðun er það yfirleitt nægjanlegt að tappa af útloftunarslöngum, u.þ.b. 5 - 10 l.</w:t>
      </w:r>
    </w:p>
    <w:p w14:paraId="152F5339" w14:textId="77777777" w:rsidR="006E2EFB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Eftir að öllum útloftunarstöðum hefur verið lokað, skal halda a.m.k. 0,5 MPa þrýstingi á kapalrör,</w:t>
      </w:r>
      <w:r w:rsidR="009C7FA1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 eina mín, en þá skal opna útloftunarstúta, einn í einu til þess að hleypa út loftbólum. Milli þess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 hleypt er út skal þrýstingur aukinn aftur upp í a.m.k. 0,5 MPa.</w:t>
      </w:r>
    </w:p>
    <w:p w14:paraId="614AC163" w14:textId="00854EDE" w:rsidR="006F6D7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Ef á þarf að halda skal gera viðeigandi ráðstafanir til að tryggja að tengibox og akkeri fyllist, m.a.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með eftirídælingu þeirra á réttum tíma áður en ídæliefni binst. Þar að auki skal vera mögulegt að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yfirfara og endurídæla í tengingar (koblinger), t.d. í gegnum innsteypt rör, sem liggja að efsta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hluta tengimúffanna.</w:t>
      </w:r>
    </w:p>
    <w:p w14:paraId="3DA50568" w14:textId="77777777" w:rsidR="00292A98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Strax að lokinni notkun skal dæla vellingi í þessi rör.</w:t>
      </w:r>
    </w:p>
    <w:p w14:paraId="29C962F0" w14:textId="7ECD32FB" w:rsidR="00942E3C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6F6D74">
        <w:rPr>
          <w:rFonts w:ascii="TimesNewRomanPSMT" w:eastAsia="Times New Roman" w:hAnsi="TimesNewRomanPSMT" w:cs="Times New Roman"/>
          <w:b/>
          <w:bCs/>
          <w:color w:val="46464B"/>
          <w:lang w:eastAsia="is-IS"/>
        </w:rPr>
        <w:t>Yfirsteypa kapalfestinga.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Yfirborð steypu við kapalfestingar, sem steypt verður að, skal vera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gróft. Ekki má steypa yfir kapalfestingar fyrr en verkkaupi hefur samþykkt ídælingarvinnuna og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búið er að loka með tappa og innsigla yfir alla stúta og akkeri. Áhersla er lögð á að tenging nýrrar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og gamallar steypu verði góð, þannig að steypuskilin verði jafnþétt og steypan umhverfis.</w:t>
      </w:r>
    </w:p>
    <w:p w14:paraId="323F8F65" w14:textId="77777777" w:rsidR="00322B8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Grautunarskýrsla: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Verktaki skal skila dagbók á formi sem verkkaupi samþykkir. Í dagbók skal skjalfesta og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staðfesta, með undirritun, alla ídælingarvinnu. Skjalfestingin skal innihalda upplýsingar sem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krafist er í ÍST EN 446 kafla 9, þar á meðal um notað efni, útbúnað, tímasetningar, veðurfarslegar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upplýsingar, svo sem meðalhitastig á mannvirki og vellingi, notað magn og upplýsingar um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niðurstöðu þeirra prófana sem hafa verið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lastRenderedPageBreak/>
        <w:t>framkvæmdar, flæðimæling, þanpróf, vatnsupptökupróf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og rúmmálsbreyting ásamt styrkleikaprófi. Dagbókin á ennfremur að innihalda upplýsingar um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hvar 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ídælingarstútar, inntök, útrásir eru staðsett í ídælingaráætluninni, ásamt frávikum frá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lokunarröð og öðrum atriðum, þar á meðal athugasemdir um stopp, leka o.m.fl.</w:t>
      </w:r>
    </w:p>
    <w:p w14:paraId="4FCC3B04" w14:textId="57B46672" w:rsidR="00322B8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322B84">
        <w:rPr>
          <w:rFonts w:ascii="TimesNewRomanPSMT" w:eastAsia="Times New Roman" w:hAnsi="TimesNewRomanPSMT" w:cs="Times New Roman"/>
          <w:b/>
          <w:bCs/>
          <w:color w:val="46464B"/>
          <w:lang w:eastAsia="is-IS"/>
        </w:rPr>
        <w:t>Í lok dælingar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þegar vellingurinn hefur harðnað og dregið til sín aðskilnaðarvatnið skal fjarlægja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ídælingarstúta og yfirfara hvort stútarnir eru fullir. Komi í ljós að svo sé ekki skal setja í gang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nákvæmari úttekt á orsök þess og raunverulegum aðstæðum. Skrásetningu á þessu skal leggja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fyrir verkkaupa til rýni ásamt hugsanlegri </w:t>
      </w:r>
      <w:r w:rsidR="00E650FA">
        <w:rPr>
          <w:rFonts w:ascii="TimesNewRomanPSMT" w:eastAsia="Times New Roman" w:hAnsi="TimesNewRomanPSMT" w:cs="Times New Roman"/>
          <w:color w:val="46464B"/>
          <w:lang w:eastAsia="is-IS"/>
        </w:rPr>
        <w:t>u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mbótaáætlun, sem verkkaupi skal yfirfara.</w:t>
      </w:r>
    </w:p>
    <w:p w14:paraId="0B565DA5" w14:textId="26269086" w:rsidR="00A66DDF" w:rsidRPr="00322B84" w:rsidRDefault="00F77B13" w:rsidP="00322B84">
      <w:pPr>
        <w:tabs>
          <w:tab w:val="clear" w:pos="1134"/>
          <w:tab w:val="left" w:pos="567"/>
        </w:tabs>
        <w:ind w:left="0" w:firstLine="567"/>
        <w:rPr>
          <w:b/>
          <w:bCs/>
          <w:iCs/>
          <w:szCs w:val="26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="00A66DDF" w:rsidRPr="00322B84">
        <w:rPr>
          <w:b/>
          <w:bCs/>
          <w:iCs/>
          <w:szCs w:val="26"/>
        </w:rPr>
        <w:t>d)</w:t>
      </w:r>
      <w:r w:rsidR="00322B84">
        <w:rPr>
          <w:b/>
          <w:bCs/>
          <w:iCs/>
          <w:szCs w:val="26"/>
        </w:rPr>
        <w:tab/>
      </w:r>
      <w:r w:rsidR="00A66DDF" w:rsidRPr="00322B84">
        <w:rPr>
          <w:b/>
          <w:bCs/>
          <w:iCs/>
          <w:szCs w:val="26"/>
        </w:rPr>
        <w:t xml:space="preserve"> </w:t>
      </w:r>
      <w:r w:rsidR="008C4F11" w:rsidRPr="00322B84">
        <w:rPr>
          <w:b/>
          <w:bCs/>
          <w:iCs/>
          <w:szCs w:val="26"/>
        </w:rPr>
        <w:t>Prófanir</w:t>
      </w:r>
    </w:p>
    <w:p w14:paraId="124F4F64" w14:textId="77777777" w:rsidR="00E650FA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Forprófanir skal gera á vellingi sem blandaður er á staðnum. Fjöldi prófa er sýnt í eftirfarandi töflu. Ekki eru gerðar kröfur um að niðurstöður mælinga á styrk og rúmþyngd liggi fyrir þegar grautað er. </w:t>
      </w:r>
    </w:p>
    <w:p w14:paraId="193AB011" w14:textId="77777777" w:rsidR="006E2EFB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>Leggja skal niðurstöðu forprófana fyrir verkkaupa til samþykktar. Verktaki getur fyrst farið að huga að því að steypa upp mannvirkið þegar samþykki verkkaupa liggur fyrir.</w:t>
      </w:r>
    </w:p>
    <w:p w14:paraId="34A6CA7B" w14:textId="3028DEFD" w:rsidR="00C16D2F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Eftirfarandi rannsóknir á vellingi skal gera á meðan á grautun stendur í samræmi við ÍST EN 446 kafla 9. Miðað er við eftirlitsflokk 3 (Inspection Class 3). </w:t>
      </w:r>
    </w:p>
    <w:p w14:paraId="46ACD1BC" w14:textId="20718DE4" w:rsidR="00C16D2F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Tíðni prófana á vellingi: </w:t>
      </w:r>
    </w:p>
    <w:p w14:paraId="3F5D150E" w14:textId="77777777" w:rsidR="009D1A93" w:rsidRDefault="009D1A93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</w:p>
    <w:tbl>
      <w:tblPr>
        <w:tblW w:w="7160" w:type="dxa"/>
        <w:tblInd w:w="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290"/>
        <w:gridCol w:w="2463"/>
        <w:gridCol w:w="1300"/>
      </w:tblGrid>
      <w:tr w:rsidR="001B3FE5" w:rsidRPr="009C5115" w14:paraId="06F55FC1" w14:textId="77777777" w:rsidTr="00443734">
        <w:trPr>
          <w:trHeight w:val="58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38A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Próf: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7DB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Forprófun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4E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Tíðni prófa við grautun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FA4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Grein í ÍST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EN 445</w:t>
            </w:r>
          </w:p>
        </w:tc>
      </w:tr>
      <w:tr w:rsidR="001B3FE5" w:rsidRPr="009C5115" w14:paraId="78C48FFA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12E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Sigtipróf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30F" w14:textId="76A3BEFE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F970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464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4.2</w:t>
            </w:r>
          </w:p>
        </w:tc>
      </w:tr>
      <w:tr w:rsidR="001B3FE5" w:rsidRPr="009C5115" w14:paraId="584AEFB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275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Flæðipróf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711" w14:textId="02E31D39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325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 próf/dag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2D05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4.3</w:t>
            </w:r>
          </w:p>
        </w:tc>
      </w:tr>
      <w:tr w:rsidR="001B3FE5" w:rsidRPr="009C5115" w14:paraId="338DC930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DB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Vatnsaðskilnaðarpróf 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1)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90C" w14:textId="5DE4CC6D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0F8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277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4.5</w:t>
            </w:r>
          </w:p>
        </w:tc>
      </w:tr>
      <w:tr w:rsidR="001B3FE5" w:rsidRPr="009C5115" w14:paraId="6AA3BA80" w14:textId="77777777" w:rsidTr="00443734">
        <w:trPr>
          <w:trHeight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F4A0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Rúmmálsbreyting 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1)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9531" w14:textId="2D835EB2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1DF7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A2B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4.5</w:t>
            </w:r>
          </w:p>
        </w:tc>
      </w:tr>
      <w:tr w:rsidR="001B3FE5" w:rsidRPr="009C5115" w14:paraId="7107B3E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A43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Styrkur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5630" w14:textId="23D4AF21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(≥ 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B9C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3 próf /dag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DAF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4.6</w:t>
            </w:r>
          </w:p>
        </w:tc>
      </w:tr>
      <w:tr w:rsidR="001B3FE5" w:rsidRPr="009C5115" w14:paraId="5448792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28A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Rúmþyngd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8E7" w14:textId="314F3E03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(≥ 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BE8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96C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4.7</w:t>
            </w:r>
          </w:p>
        </w:tc>
      </w:tr>
    </w:tbl>
    <w:p w14:paraId="7A1044AC" w14:textId="7A79E864" w:rsidR="00B34E3F" w:rsidRDefault="00CE32A2" w:rsidP="00CE32A2">
      <w:pPr>
        <w:spacing w:after="0"/>
        <w:ind w:left="567" w:firstLine="142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Calibri" w:eastAsia="Times New Roman" w:hAnsi="Calibri" w:cs="Calibri"/>
          <w:color w:val="46464B"/>
          <w:sz w:val="14"/>
          <w:szCs w:val="14"/>
          <w:lang w:eastAsia="is-IS"/>
        </w:rPr>
        <w:t xml:space="preserve">1) </w:t>
      </w:r>
      <w:r w:rsidRPr="009C5115">
        <w:rPr>
          <w:rFonts w:ascii="Calibri" w:eastAsia="Times New Roman" w:hAnsi="Calibri" w:cs="Calibri"/>
          <w:color w:val="46464B"/>
          <w:lang w:eastAsia="is-IS"/>
        </w:rPr>
        <w:t>Vatnsaðskilnaðar- og rúmmálsbreytingarpróf er sama prófið.</w:t>
      </w:r>
    </w:p>
    <w:p w14:paraId="70758E04" w14:textId="02B4CEF3" w:rsidR="000E3D39" w:rsidRDefault="000E3D39" w:rsidP="00CC5F2A">
      <w:pPr>
        <w:pStyle w:val="Li-fyrirsagnir"/>
        <w:tabs>
          <w:tab w:val="clear" w:pos="1008"/>
          <w:tab w:val="clear" w:pos="1134"/>
          <w:tab w:val="left" w:pos="567"/>
        </w:tabs>
        <w:ind w:left="567" w:hanging="567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e) </w:t>
      </w:r>
      <w:r w:rsidRPr="00B10640">
        <w:rPr>
          <w:noProof/>
          <w:szCs w:val="24"/>
          <w:lang w:val="nn-NO"/>
        </w:rPr>
        <w:tab/>
      </w:r>
      <w:r w:rsidR="008C4F11">
        <w:t>Nákvæmni</w:t>
      </w:r>
      <w:r w:rsidR="00853FBD">
        <w:t>s</w:t>
      </w:r>
      <w:r w:rsidR="008C4F11">
        <w:t>kröfur, frávik</w:t>
      </w:r>
    </w:p>
    <w:p w14:paraId="6243848A" w14:textId="7122149A" w:rsidR="00205DDB" w:rsidRPr="00625B52" w:rsidRDefault="00205DDB" w:rsidP="00205DDB">
      <w:pPr>
        <w:tabs>
          <w:tab w:val="clear" w:pos="1134"/>
        </w:tabs>
        <w:ind w:left="567"/>
        <w:rPr>
          <w:lang w:val="nb-NO"/>
        </w:rPr>
      </w:pPr>
      <w:r w:rsidRPr="00625B52">
        <w:rPr>
          <w:lang w:val="nb-NO"/>
        </w:rPr>
        <w:t>Nákvæmni við mælingu uppspennukrafts skal vera ±</w:t>
      </w:r>
      <w:r>
        <w:rPr>
          <w:lang w:val="nb-NO"/>
        </w:rPr>
        <w:t>2</w:t>
      </w:r>
      <w:r w:rsidRPr="00625B52">
        <w:rPr>
          <w:lang w:val="nb-NO"/>
        </w:rPr>
        <w:t>%.</w:t>
      </w:r>
    </w:p>
    <w:p w14:paraId="3707A7FC" w14:textId="77777777" w:rsidR="001C448F" w:rsidRPr="00625B52" w:rsidRDefault="001C448F" w:rsidP="00625B52">
      <w:pPr>
        <w:tabs>
          <w:tab w:val="clear" w:pos="1134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</w:rPr>
      </w:pPr>
      <w:r w:rsidRPr="00625B52">
        <w:rPr>
          <w:rFonts w:eastAsia="Times New Roman" w:cs="Times New Roman"/>
          <w:bCs/>
          <w:color w:val="000000"/>
          <w:sz w:val="22"/>
        </w:rPr>
        <w:t>Leyfð frávik hlutefna í vellingi:</w:t>
      </w:r>
    </w:p>
    <w:p w14:paraId="3BC449F6" w14:textId="77777777" w:rsidR="001C448F" w:rsidRPr="00625B52" w:rsidRDefault="001C448F" w:rsidP="00625B52">
      <w:pPr>
        <w:tabs>
          <w:tab w:val="clear" w:pos="1134"/>
          <w:tab w:val="left" w:pos="4536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  <w:lang w:val="nb-NO"/>
        </w:rPr>
      </w:pPr>
      <w:r w:rsidRPr="00625B52">
        <w:rPr>
          <w:rFonts w:eastAsia="Times New Roman" w:cs="Times New Roman"/>
          <w:bCs/>
          <w:color w:val="000000"/>
          <w:sz w:val="22"/>
        </w:rPr>
        <w:tab/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 xml:space="preserve">Sement og íblendi: </w:t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>± 2% af fyrirskrifuðu magni</w:t>
      </w:r>
      <w:r w:rsidR="00E05BA8">
        <w:rPr>
          <w:rFonts w:eastAsia="Times New Roman" w:cs="Times New Roman"/>
          <w:bCs/>
          <w:color w:val="000000"/>
          <w:sz w:val="22"/>
          <w:lang w:val="nb-NO"/>
        </w:rPr>
        <w:t>.</w:t>
      </w:r>
    </w:p>
    <w:p w14:paraId="74562CEB" w14:textId="77777777" w:rsidR="001C448F" w:rsidRPr="00625B52" w:rsidRDefault="001C448F" w:rsidP="00625B52">
      <w:pPr>
        <w:tabs>
          <w:tab w:val="clear" w:pos="1134"/>
          <w:tab w:val="left" w:pos="4536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  <w:lang w:val="nb-NO"/>
        </w:rPr>
      </w:pP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 xml:space="preserve">Vatn: </w:t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>± 1% af fyrirskrifuðu magn</w:t>
      </w:r>
      <w:r w:rsidR="00E05BA8">
        <w:rPr>
          <w:rFonts w:eastAsia="Times New Roman" w:cs="Times New Roman"/>
          <w:bCs/>
          <w:color w:val="000000"/>
          <w:sz w:val="22"/>
          <w:lang w:val="nb-NO"/>
        </w:rPr>
        <w:t>i.</w:t>
      </w:r>
    </w:p>
    <w:p w14:paraId="75CAA702" w14:textId="77777777" w:rsidR="0042589C" w:rsidRPr="0042589C" w:rsidRDefault="0042589C" w:rsidP="0042589C">
      <w:pPr>
        <w:rPr>
          <w:lang w:eastAsia="is-IS"/>
        </w:rPr>
      </w:pPr>
    </w:p>
    <w:p w14:paraId="7A75FD9F" w14:textId="2C672E7D" w:rsidR="00244CA3" w:rsidRPr="00625B52" w:rsidRDefault="00CC5F2A" w:rsidP="00CC5F2A">
      <w:pPr>
        <w:pStyle w:val="Kaflafyrirsagnir"/>
        <w:tabs>
          <w:tab w:val="clear" w:pos="1134"/>
          <w:tab w:val="left" w:pos="851"/>
        </w:tabs>
        <w:ind w:left="0" w:firstLine="0"/>
        <w:rPr>
          <w:szCs w:val="24"/>
        </w:rPr>
      </w:pPr>
      <w:bookmarkStart w:id="4" w:name="_Toc74485120"/>
      <w:r>
        <w:rPr>
          <w:szCs w:val="24"/>
        </w:rPr>
        <w:t>84.37</w:t>
      </w:r>
      <w:r>
        <w:rPr>
          <w:szCs w:val="24"/>
        </w:rPr>
        <w:tab/>
      </w:r>
      <w:r>
        <w:rPr>
          <w:szCs w:val="24"/>
        </w:rPr>
        <w:tab/>
        <w:t>U</w:t>
      </w:r>
      <w:r w:rsidR="001C448F" w:rsidRPr="00625B52">
        <w:rPr>
          <w:szCs w:val="24"/>
        </w:rPr>
        <w:t>ppspenna og grautun</w:t>
      </w:r>
      <w:bookmarkEnd w:id="4"/>
      <w:r w:rsidR="00244CA3" w:rsidRPr="00625B52">
        <w:rPr>
          <w:szCs w:val="24"/>
        </w:rPr>
        <w:t xml:space="preserve"> </w:t>
      </w:r>
    </w:p>
    <w:p w14:paraId="1B8FAD62" w14:textId="77777777" w:rsidR="00CA7020" w:rsidRPr="00625B52" w:rsidRDefault="00625B52" w:rsidP="00205DDB">
      <w:pPr>
        <w:widowControl w:val="0"/>
        <w:spacing w:line="240" w:lineRule="atLeast"/>
        <w:ind w:left="1134" w:hanging="283"/>
        <w:rPr>
          <w:rFonts w:cs="Times New Roman"/>
          <w:noProof/>
          <w:lang w:val="nn-NO"/>
        </w:rPr>
      </w:pPr>
      <w:r w:rsidRPr="00625B52">
        <w:rPr>
          <w:rFonts w:cs="Times New Roman"/>
          <w:b/>
        </w:rPr>
        <w:t>a)</w:t>
      </w:r>
      <w:r w:rsidRPr="00625B52">
        <w:rPr>
          <w:rFonts w:cs="Times New Roman"/>
        </w:rPr>
        <w:t xml:space="preserve"> </w:t>
      </w:r>
      <w:r w:rsidR="00E05BA8">
        <w:rPr>
          <w:rFonts w:cs="Times New Roman"/>
        </w:rPr>
        <w:t>Í v</w:t>
      </w:r>
      <w:r w:rsidR="001C448F" w:rsidRPr="00625B52">
        <w:rPr>
          <w:rFonts w:cs="Times New Roman"/>
        </w:rPr>
        <w:t>erkþ</w:t>
      </w:r>
      <w:r w:rsidR="00E05BA8">
        <w:rPr>
          <w:rFonts w:cs="Times New Roman"/>
        </w:rPr>
        <w:t>ætti er</w:t>
      </w:r>
      <w:r w:rsidR="001C448F" w:rsidRPr="00625B52">
        <w:rPr>
          <w:rFonts w:cs="Times New Roman"/>
        </w:rPr>
        <w:t xml:space="preserve"> innif</w:t>
      </w:r>
      <w:r w:rsidR="00E05BA8">
        <w:rPr>
          <w:rFonts w:cs="Times New Roman"/>
        </w:rPr>
        <w:t>alinn</w:t>
      </w:r>
      <w:r w:rsidR="001C448F" w:rsidRPr="00625B52">
        <w:rPr>
          <w:rFonts w:cs="Times New Roman"/>
        </w:rPr>
        <w:t xml:space="preserve"> all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 xml:space="preserve"> kostnað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>, efni, vinn</w:t>
      </w:r>
      <w:r w:rsidR="00E05BA8">
        <w:rPr>
          <w:rFonts w:cs="Times New Roman"/>
        </w:rPr>
        <w:t>a</w:t>
      </w:r>
      <w:r w:rsidR="001C448F" w:rsidRPr="00625B52">
        <w:rPr>
          <w:rFonts w:cs="Times New Roman"/>
        </w:rPr>
        <w:t xml:space="preserve"> og flutning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 xml:space="preserve"> efnis vegna uppspennu og grautunar á spenniköplum í yfirbyggingu brúarinnar, þ.m.t.: </w:t>
      </w:r>
      <w:r w:rsidR="001C448F" w:rsidRPr="00625B52">
        <w:rPr>
          <w:rFonts w:cs="Times New Roman"/>
        </w:rPr>
        <w:lastRenderedPageBreak/>
        <w:t>Flutningur og uppsetning spenni- og grautunarbúnaðar, kostnaður vegna nauð</w:t>
      </w:r>
      <w:r w:rsidR="00CA7020" w:rsidRPr="00625B52">
        <w:rPr>
          <w:rFonts w:cs="Times New Roman"/>
        </w:rPr>
        <w:t>synlegra prófana ásamt fyllingu</w:t>
      </w:r>
      <w:r w:rsidRPr="00625B52">
        <w:rPr>
          <w:rFonts w:cs="Times New Roman"/>
        </w:rPr>
        <w:t xml:space="preserve"> </w:t>
      </w:r>
      <w:r w:rsidRPr="00625B52">
        <w:rPr>
          <w:i/>
          <w:color w:val="4F81BD" w:themeColor="accent1"/>
        </w:rPr>
        <w:t>[nánari lýsing]</w:t>
      </w:r>
      <w:r w:rsidR="00E05BA8">
        <w:rPr>
          <w:i/>
          <w:color w:val="4F81BD" w:themeColor="accent1"/>
        </w:rPr>
        <w:t>.</w:t>
      </w:r>
    </w:p>
    <w:p w14:paraId="71FB3C60" w14:textId="77777777" w:rsidR="001C448F" w:rsidRPr="00CA7020" w:rsidRDefault="00CA7020" w:rsidP="00625B52">
      <w:pPr>
        <w:widowControl w:val="0"/>
        <w:tabs>
          <w:tab w:val="clear" w:pos="1134"/>
        </w:tabs>
        <w:spacing w:line="240" w:lineRule="atLeast"/>
        <w:ind w:left="1134" w:hanging="283"/>
        <w:jc w:val="both"/>
        <w:rPr>
          <w:rFonts w:cs="Times New Roman"/>
          <w:noProof/>
          <w:lang w:val="nn-NO"/>
        </w:rPr>
      </w:pPr>
      <w:r w:rsidRPr="00625B52">
        <w:rPr>
          <w:b/>
        </w:rPr>
        <w:t xml:space="preserve"> </w:t>
      </w:r>
      <w:r w:rsidR="001C448F" w:rsidRPr="00625B52">
        <w:rPr>
          <w:b/>
        </w:rPr>
        <w:t>f)</w:t>
      </w:r>
      <w:r>
        <w:tab/>
      </w:r>
      <w:r w:rsidR="001C448F" w:rsidRPr="00CA7020">
        <w:rPr>
          <w:rFonts w:cs="Times New Roman"/>
          <w:noProof/>
          <w:lang w:val="nn-NO"/>
        </w:rPr>
        <w:t xml:space="preserve">Uppgjör miðast við fjölda spenntra og frágenginna kapla. </w:t>
      </w:r>
    </w:p>
    <w:p w14:paraId="4E481C6B" w14:textId="77777777" w:rsidR="001C448F" w:rsidRPr="001C448F" w:rsidRDefault="001C448F" w:rsidP="00625B52">
      <w:pPr>
        <w:tabs>
          <w:tab w:val="clear" w:pos="1134"/>
        </w:tabs>
        <w:spacing w:before="85" w:after="85" w:line="276" w:lineRule="auto"/>
        <w:ind w:left="1134"/>
        <w:jc w:val="both"/>
        <w:rPr>
          <w:rFonts w:cs="Times New Roman"/>
          <w:noProof/>
          <w:sz w:val="22"/>
          <w:lang w:val="nn-NO" w:eastAsia="is-IS"/>
        </w:rPr>
      </w:pPr>
      <w:r w:rsidRPr="001C448F">
        <w:rPr>
          <w:rFonts w:cs="Times New Roman"/>
          <w:noProof/>
          <w:sz w:val="22"/>
          <w:lang w:val="nn-NO" w:eastAsia="is-IS"/>
        </w:rPr>
        <w:t>Mælieining: stk.</w:t>
      </w:r>
    </w:p>
    <w:p w14:paraId="3F77244A" w14:textId="77777777" w:rsidR="002D64D3" w:rsidRDefault="002D64D3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D6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31EF" w14:textId="77777777" w:rsidR="002144EE" w:rsidRDefault="002144EE" w:rsidP="005B28DC">
      <w:r>
        <w:separator/>
      </w:r>
    </w:p>
  </w:endnote>
  <w:endnote w:type="continuationSeparator" w:id="0">
    <w:p w14:paraId="0756664E" w14:textId="77777777" w:rsidR="002144EE" w:rsidRDefault="002144EE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937D5" w14:textId="77777777" w:rsidR="008B0DB0" w:rsidRDefault="008B0DB0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BF907D" w14:textId="77777777" w:rsidR="005B28DC" w:rsidRDefault="005B28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AEFB" w14:textId="77777777" w:rsidR="002144EE" w:rsidRDefault="002144EE" w:rsidP="005B28DC">
      <w:r>
        <w:separator/>
      </w:r>
    </w:p>
  </w:footnote>
  <w:footnote w:type="continuationSeparator" w:id="0">
    <w:p w14:paraId="4FEB0C23" w14:textId="77777777" w:rsidR="002144EE" w:rsidRDefault="002144EE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12F" w14:textId="0235B17B" w:rsidR="008B0DB0" w:rsidRDefault="008B0DB0">
    <w:pPr>
      <w:pStyle w:val="Suhaus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CC5F2A">
      <w:t>11</w:t>
    </w:r>
    <w:r w:rsidR="00571D27">
      <w:t>.0</w:t>
    </w:r>
    <w:r w:rsidR="00CC5F2A">
      <w:t>6</w:t>
    </w:r>
    <w:r w:rsidR="00571D27">
      <w:t>.20</w:t>
    </w:r>
    <w:r w:rsidR="00CC5F2A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514"/>
    <w:multiLevelType w:val="hybridMultilevel"/>
    <w:tmpl w:val="B5E6ED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D3E"/>
    <w:multiLevelType w:val="multilevel"/>
    <w:tmpl w:val="242C07DA"/>
    <w:lvl w:ilvl="0">
      <w:start w:val="8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0E7"/>
    <w:multiLevelType w:val="hybridMultilevel"/>
    <w:tmpl w:val="3EDC083A"/>
    <w:lvl w:ilvl="0" w:tplc="00010409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5910EC"/>
    <w:multiLevelType w:val="hybridMultilevel"/>
    <w:tmpl w:val="B9244D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B0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6DF"/>
    <w:multiLevelType w:val="hybridMultilevel"/>
    <w:tmpl w:val="B5B0CB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F90"/>
    <w:multiLevelType w:val="hybridMultilevel"/>
    <w:tmpl w:val="1C7AC9CA"/>
    <w:lvl w:ilvl="0" w:tplc="6E0A14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4364"/>
    <w:multiLevelType w:val="hybridMultilevel"/>
    <w:tmpl w:val="D1400A2A"/>
    <w:lvl w:ilvl="0" w:tplc="BDC001AE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6157"/>
    <w:multiLevelType w:val="hybridMultilevel"/>
    <w:tmpl w:val="19E4AF84"/>
    <w:lvl w:ilvl="0" w:tplc="00010409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973"/>
        </w:tabs>
        <w:ind w:left="897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9693"/>
        </w:tabs>
        <w:ind w:left="969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0413"/>
        </w:tabs>
        <w:ind w:left="1041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1133"/>
        </w:tabs>
        <w:ind w:left="1113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1853"/>
        </w:tabs>
        <w:ind w:left="1185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2573"/>
        </w:tabs>
        <w:ind w:left="12573" w:hanging="360"/>
      </w:pPr>
      <w:rPr>
        <w:rFonts w:ascii="Wingdings" w:hAnsi="Wingdings" w:hint="default"/>
      </w:rPr>
    </w:lvl>
  </w:abstractNum>
  <w:abstractNum w:abstractNumId="9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35960"/>
    <w:multiLevelType w:val="multilevel"/>
    <w:tmpl w:val="E7ECDBBE"/>
    <w:lvl w:ilvl="0">
      <w:start w:val="8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A6D24"/>
    <w:multiLevelType w:val="hybridMultilevel"/>
    <w:tmpl w:val="A2809778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659F"/>
    <w:multiLevelType w:val="hybridMultilevel"/>
    <w:tmpl w:val="7EA8508A"/>
    <w:lvl w:ilvl="0" w:tplc="00010409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7B82C8B"/>
    <w:multiLevelType w:val="hybridMultilevel"/>
    <w:tmpl w:val="0CDE22CC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CB745A"/>
    <w:multiLevelType w:val="hybridMultilevel"/>
    <w:tmpl w:val="D1400A2A"/>
    <w:lvl w:ilvl="0" w:tplc="BDC001AE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A12E4"/>
    <w:rsid w:val="000A78EA"/>
    <w:rsid w:val="000B40B1"/>
    <w:rsid w:val="000B7FAC"/>
    <w:rsid w:val="000C3F14"/>
    <w:rsid w:val="000C7B1F"/>
    <w:rsid w:val="000E3D39"/>
    <w:rsid w:val="000F158D"/>
    <w:rsid w:val="001145FB"/>
    <w:rsid w:val="00115E8F"/>
    <w:rsid w:val="00126B40"/>
    <w:rsid w:val="00126F32"/>
    <w:rsid w:val="00135457"/>
    <w:rsid w:val="0014673D"/>
    <w:rsid w:val="00166448"/>
    <w:rsid w:val="001664A5"/>
    <w:rsid w:val="001668D2"/>
    <w:rsid w:val="001714CA"/>
    <w:rsid w:val="00173F0B"/>
    <w:rsid w:val="00173FEF"/>
    <w:rsid w:val="0019062D"/>
    <w:rsid w:val="001917F8"/>
    <w:rsid w:val="001926DE"/>
    <w:rsid w:val="001A4384"/>
    <w:rsid w:val="001B0796"/>
    <w:rsid w:val="001B3FE5"/>
    <w:rsid w:val="001C2A54"/>
    <w:rsid w:val="001C308B"/>
    <w:rsid w:val="001C448F"/>
    <w:rsid w:val="001C707A"/>
    <w:rsid w:val="00201B62"/>
    <w:rsid w:val="002024C8"/>
    <w:rsid w:val="002026BC"/>
    <w:rsid w:val="00205DDB"/>
    <w:rsid w:val="002144EE"/>
    <w:rsid w:val="00222ECD"/>
    <w:rsid w:val="002316A3"/>
    <w:rsid w:val="002331FB"/>
    <w:rsid w:val="00235848"/>
    <w:rsid w:val="00240582"/>
    <w:rsid w:val="00241FB6"/>
    <w:rsid w:val="00244CA3"/>
    <w:rsid w:val="00245F06"/>
    <w:rsid w:val="0025499D"/>
    <w:rsid w:val="00262D08"/>
    <w:rsid w:val="0026377F"/>
    <w:rsid w:val="0026403E"/>
    <w:rsid w:val="002715CB"/>
    <w:rsid w:val="00271A12"/>
    <w:rsid w:val="00271C3E"/>
    <w:rsid w:val="002926BC"/>
    <w:rsid w:val="00292A98"/>
    <w:rsid w:val="002A2DEF"/>
    <w:rsid w:val="002D5F6B"/>
    <w:rsid w:val="002D64D3"/>
    <w:rsid w:val="002E0CF7"/>
    <w:rsid w:val="002E3A9A"/>
    <w:rsid w:val="002E76AA"/>
    <w:rsid w:val="002F0A56"/>
    <w:rsid w:val="0030363B"/>
    <w:rsid w:val="00322B84"/>
    <w:rsid w:val="003260A9"/>
    <w:rsid w:val="0035071B"/>
    <w:rsid w:val="0035498C"/>
    <w:rsid w:val="00387841"/>
    <w:rsid w:val="00387BC7"/>
    <w:rsid w:val="00393D1A"/>
    <w:rsid w:val="003A50EC"/>
    <w:rsid w:val="003B5A4F"/>
    <w:rsid w:val="003C15D1"/>
    <w:rsid w:val="003C38BF"/>
    <w:rsid w:val="003C60F3"/>
    <w:rsid w:val="003D375F"/>
    <w:rsid w:val="003D3F3A"/>
    <w:rsid w:val="003D7859"/>
    <w:rsid w:val="003E2A79"/>
    <w:rsid w:val="003F28F8"/>
    <w:rsid w:val="003F7950"/>
    <w:rsid w:val="004062D0"/>
    <w:rsid w:val="004120D7"/>
    <w:rsid w:val="004155E6"/>
    <w:rsid w:val="00420A85"/>
    <w:rsid w:val="00421C69"/>
    <w:rsid w:val="00423A52"/>
    <w:rsid w:val="0042589C"/>
    <w:rsid w:val="00431C33"/>
    <w:rsid w:val="004326BC"/>
    <w:rsid w:val="0043568B"/>
    <w:rsid w:val="004360A5"/>
    <w:rsid w:val="00443734"/>
    <w:rsid w:val="00454C6A"/>
    <w:rsid w:val="0046145C"/>
    <w:rsid w:val="004665E4"/>
    <w:rsid w:val="004714BF"/>
    <w:rsid w:val="00472C7F"/>
    <w:rsid w:val="00472DA6"/>
    <w:rsid w:val="004A256B"/>
    <w:rsid w:val="004A3BAD"/>
    <w:rsid w:val="004B3990"/>
    <w:rsid w:val="004C1129"/>
    <w:rsid w:val="004D0064"/>
    <w:rsid w:val="004D70EE"/>
    <w:rsid w:val="004E048E"/>
    <w:rsid w:val="004F2C0B"/>
    <w:rsid w:val="004F7D40"/>
    <w:rsid w:val="005031C4"/>
    <w:rsid w:val="00503938"/>
    <w:rsid w:val="00512862"/>
    <w:rsid w:val="00527E1D"/>
    <w:rsid w:val="00533D3B"/>
    <w:rsid w:val="00571D27"/>
    <w:rsid w:val="005818E8"/>
    <w:rsid w:val="005833EA"/>
    <w:rsid w:val="005A0E00"/>
    <w:rsid w:val="005A1DE8"/>
    <w:rsid w:val="005A544D"/>
    <w:rsid w:val="005B28DC"/>
    <w:rsid w:val="005C03BC"/>
    <w:rsid w:val="005C4CCD"/>
    <w:rsid w:val="005D14EF"/>
    <w:rsid w:val="005D4FD3"/>
    <w:rsid w:val="005D5DED"/>
    <w:rsid w:val="005F4B5C"/>
    <w:rsid w:val="005F6F3C"/>
    <w:rsid w:val="006017A5"/>
    <w:rsid w:val="0060456D"/>
    <w:rsid w:val="00611EAB"/>
    <w:rsid w:val="006168E2"/>
    <w:rsid w:val="00625B52"/>
    <w:rsid w:val="006277E2"/>
    <w:rsid w:val="00633A30"/>
    <w:rsid w:val="00657005"/>
    <w:rsid w:val="0066496B"/>
    <w:rsid w:val="006A5154"/>
    <w:rsid w:val="006C036C"/>
    <w:rsid w:val="006C2624"/>
    <w:rsid w:val="006D01F5"/>
    <w:rsid w:val="006E2EFB"/>
    <w:rsid w:val="006E4BE0"/>
    <w:rsid w:val="006F248B"/>
    <w:rsid w:val="006F36E7"/>
    <w:rsid w:val="006F6D74"/>
    <w:rsid w:val="00703850"/>
    <w:rsid w:val="00707CF6"/>
    <w:rsid w:val="00711E74"/>
    <w:rsid w:val="007155A7"/>
    <w:rsid w:val="00716697"/>
    <w:rsid w:val="0071744D"/>
    <w:rsid w:val="0072357B"/>
    <w:rsid w:val="00734C4B"/>
    <w:rsid w:val="00741FA5"/>
    <w:rsid w:val="00743125"/>
    <w:rsid w:val="00750555"/>
    <w:rsid w:val="007602E0"/>
    <w:rsid w:val="00765A22"/>
    <w:rsid w:val="0079261B"/>
    <w:rsid w:val="00794718"/>
    <w:rsid w:val="007A12AC"/>
    <w:rsid w:val="007A1B0C"/>
    <w:rsid w:val="007A3BF0"/>
    <w:rsid w:val="007A77A4"/>
    <w:rsid w:val="007B562E"/>
    <w:rsid w:val="007C3590"/>
    <w:rsid w:val="007D174A"/>
    <w:rsid w:val="007F04C2"/>
    <w:rsid w:val="007F5C04"/>
    <w:rsid w:val="008100F5"/>
    <w:rsid w:val="00810A03"/>
    <w:rsid w:val="00811BD5"/>
    <w:rsid w:val="008127FC"/>
    <w:rsid w:val="008207EA"/>
    <w:rsid w:val="00831D1B"/>
    <w:rsid w:val="00835C18"/>
    <w:rsid w:val="00840C24"/>
    <w:rsid w:val="008507E2"/>
    <w:rsid w:val="00853FBD"/>
    <w:rsid w:val="00865E8F"/>
    <w:rsid w:val="00873ED8"/>
    <w:rsid w:val="00874F2F"/>
    <w:rsid w:val="00877AC8"/>
    <w:rsid w:val="00890A2A"/>
    <w:rsid w:val="008959AA"/>
    <w:rsid w:val="00897BD8"/>
    <w:rsid w:val="008A1444"/>
    <w:rsid w:val="008B0DB0"/>
    <w:rsid w:val="008B61F2"/>
    <w:rsid w:val="008B75CA"/>
    <w:rsid w:val="008C4212"/>
    <w:rsid w:val="008C4F11"/>
    <w:rsid w:val="008D7DEC"/>
    <w:rsid w:val="008E766B"/>
    <w:rsid w:val="008F2C90"/>
    <w:rsid w:val="008F414A"/>
    <w:rsid w:val="00907910"/>
    <w:rsid w:val="00922C50"/>
    <w:rsid w:val="00941F08"/>
    <w:rsid w:val="00942E3C"/>
    <w:rsid w:val="00957BC2"/>
    <w:rsid w:val="00960925"/>
    <w:rsid w:val="009645D8"/>
    <w:rsid w:val="00982B8F"/>
    <w:rsid w:val="00983E85"/>
    <w:rsid w:val="00986C74"/>
    <w:rsid w:val="009A17AA"/>
    <w:rsid w:val="009B4EDB"/>
    <w:rsid w:val="009B69C1"/>
    <w:rsid w:val="009C6016"/>
    <w:rsid w:val="009C7FA1"/>
    <w:rsid w:val="009D0FBF"/>
    <w:rsid w:val="009D1A93"/>
    <w:rsid w:val="009D439A"/>
    <w:rsid w:val="009D5B28"/>
    <w:rsid w:val="00A0307A"/>
    <w:rsid w:val="00A14F17"/>
    <w:rsid w:val="00A1683D"/>
    <w:rsid w:val="00A16B49"/>
    <w:rsid w:val="00A31A6B"/>
    <w:rsid w:val="00A35456"/>
    <w:rsid w:val="00A44494"/>
    <w:rsid w:val="00A60521"/>
    <w:rsid w:val="00A64584"/>
    <w:rsid w:val="00A66DDF"/>
    <w:rsid w:val="00A756BE"/>
    <w:rsid w:val="00A81C00"/>
    <w:rsid w:val="00A849B9"/>
    <w:rsid w:val="00A93D05"/>
    <w:rsid w:val="00AA7523"/>
    <w:rsid w:val="00AB7A51"/>
    <w:rsid w:val="00AC1591"/>
    <w:rsid w:val="00AC23BC"/>
    <w:rsid w:val="00B0275D"/>
    <w:rsid w:val="00B032DD"/>
    <w:rsid w:val="00B12621"/>
    <w:rsid w:val="00B151FD"/>
    <w:rsid w:val="00B17689"/>
    <w:rsid w:val="00B200D5"/>
    <w:rsid w:val="00B24812"/>
    <w:rsid w:val="00B31FC4"/>
    <w:rsid w:val="00B34E3F"/>
    <w:rsid w:val="00B46A5D"/>
    <w:rsid w:val="00B511A7"/>
    <w:rsid w:val="00B7105D"/>
    <w:rsid w:val="00B73D7E"/>
    <w:rsid w:val="00B85A68"/>
    <w:rsid w:val="00B97DF6"/>
    <w:rsid w:val="00BA22BE"/>
    <w:rsid w:val="00BE1F07"/>
    <w:rsid w:val="00BF1BFF"/>
    <w:rsid w:val="00C16D2F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020"/>
    <w:rsid w:val="00CA7E5B"/>
    <w:rsid w:val="00CC5B7A"/>
    <w:rsid w:val="00CC5F2A"/>
    <w:rsid w:val="00CD656E"/>
    <w:rsid w:val="00CD7B2C"/>
    <w:rsid w:val="00CE2E5D"/>
    <w:rsid w:val="00CE32A2"/>
    <w:rsid w:val="00CE5793"/>
    <w:rsid w:val="00CF2331"/>
    <w:rsid w:val="00D05DC8"/>
    <w:rsid w:val="00D21EC6"/>
    <w:rsid w:val="00D27597"/>
    <w:rsid w:val="00D3051C"/>
    <w:rsid w:val="00D43DCA"/>
    <w:rsid w:val="00D56934"/>
    <w:rsid w:val="00D64CDA"/>
    <w:rsid w:val="00D66C43"/>
    <w:rsid w:val="00D70309"/>
    <w:rsid w:val="00D70E32"/>
    <w:rsid w:val="00D7208D"/>
    <w:rsid w:val="00D73D43"/>
    <w:rsid w:val="00D75225"/>
    <w:rsid w:val="00D75C81"/>
    <w:rsid w:val="00D767ED"/>
    <w:rsid w:val="00D9717F"/>
    <w:rsid w:val="00DB01C5"/>
    <w:rsid w:val="00DB3785"/>
    <w:rsid w:val="00DB3A1C"/>
    <w:rsid w:val="00DB56C8"/>
    <w:rsid w:val="00DC1D09"/>
    <w:rsid w:val="00DC3AA5"/>
    <w:rsid w:val="00DD45B9"/>
    <w:rsid w:val="00DD48F8"/>
    <w:rsid w:val="00DE0745"/>
    <w:rsid w:val="00DE7A62"/>
    <w:rsid w:val="00E05BA8"/>
    <w:rsid w:val="00E207CA"/>
    <w:rsid w:val="00E23E7A"/>
    <w:rsid w:val="00E2572E"/>
    <w:rsid w:val="00E45504"/>
    <w:rsid w:val="00E5086E"/>
    <w:rsid w:val="00E55C08"/>
    <w:rsid w:val="00E60FB5"/>
    <w:rsid w:val="00E62954"/>
    <w:rsid w:val="00E650FA"/>
    <w:rsid w:val="00E71AEA"/>
    <w:rsid w:val="00E84E0C"/>
    <w:rsid w:val="00EA0799"/>
    <w:rsid w:val="00EB0607"/>
    <w:rsid w:val="00EB525C"/>
    <w:rsid w:val="00ED0CD1"/>
    <w:rsid w:val="00ED68C9"/>
    <w:rsid w:val="00EE0471"/>
    <w:rsid w:val="00EE639F"/>
    <w:rsid w:val="00EE65FD"/>
    <w:rsid w:val="00EF08E5"/>
    <w:rsid w:val="00EF6545"/>
    <w:rsid w:val="00EF7607"/>
    <w:rsid w:val="00F007F4"/>
    <w:rsid w:val="00F13BCD"/>
    <w:rsid w:val="00F32EA3"/>
    <w:rsid w:val="00F42318"/>
    <w:rsid w:val="00F42BC9"/>
    <w:rsid w:val="00F47032"/>
    <w:rsid w:val="00F525EA"/>
    <w:rsid w:val="00F73FAB"/>
    <w:rsid w:val="00F77902"/>
    <w:rsid w:val="00F77B13"/>
    <w:rsid w:val="00F802FE"/>
    <w:rsid w:val="00F80AB2"/>
    <w:rsid w:val="00F90AB5"/>
    <w:rsid w:val="00FA1C95"/>
    <w:rsid w:val="00FA4F78"/>
    <w:rsid w:val="00FA6B36"/>
    <w:rsid w:val="00FD357F"/>
    <w:rsid w:val="00FD639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27A3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aliases w:val="Texti"/>
    <w:qFormat/>
    <w:rsid w:val="00633A3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abcflokkar">
    <w:name w:val="abc flokkar"/>
    <w:basedOn w:val="Venjulegur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Fyrirsgn1"/>
    <w:next w:val="Venjulegur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Fyrirsgn5"/>
    <w:next w:val="Venjulegur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Sjlfgefinleturgermlsgreinar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Fyrirsgn1Staf">
    <w:name w:val="Fyrirsögn 1 Staf"/>
    <w:basedOn w:val="Sjlfgefinleturgermlsgreinar"/>
    <w:link w:val="Fyrirsgn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erkt">
    <w:name w:val="Strong"/>
    <w:basedOn w:val="Sjlfgefinleturgermlsgreinar"/>
    <w:uiPriority w:val="22"/>
    <w:qFormat/>
    <w:rsid w:val="007F5C04"/>
    <w:rPr>
      <w:b/>
      <w:bCs/>
    </w:rPr>
  </w:style>
  <w:style w:type="paragraph" w:styleId="Suhaus">
    <w:name w:val="header"/>
    <w:basedOn w:val="Venjulegur"/>
    <w:link w:val="SuhausStaf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Hnitanettflu">
    <w:name w:val="Table Grid"/>
    <w:basedOn w:val="Tafla-venjuleg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ginbil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Tengill">
    <w:name w:val="Hyperlink"/>
    <w:basedOn w:val="Sjlfgefinleturgermlsgreinar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Venjulegur"/>
    <w:link w:val="LiurtextiChar"/>
    <w:autoRedefine/>
    <w:qFormat/>
    <w:rsid w:val="002316A3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567" w:right="425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Sjlfgefinleturgermlsgreinar"/>
    <w:link w:val="Liurtexti"/>
    <w:locked/>
    <w:rsid w:val="002316A3"/>
    <w:rPr>
      <w:rFonts w:ascii="Times New Roman" w:eastAsia="Times" w:hAnsi="Times New Roman" w:cs="Times New Roman"/>
      <w:bCs/>
      <w:noProof/>
      <w:sz w:val="24"/>
      <w:szCs w:val="24"/>
      <w:lang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5A544D"/>
    <w:pPr>
      <w:tabs>
        <w:tab w:val="clear" w:pos="1134"/>
      </w:tabs>
      <w:spacing w:after="100"/>
      <w:ind w:left="480"/>
    </w:pPr>
  </w:style>
  <w:style w:type="paragraph" w:styleId="Mlsgreinlista">
    <w:name w:val="List Paragraph"/>
    <w:basedOn w:val="Venjulegur"/>
    <w:uiPriority w:val="34"/>
    <w:qFormat/>
    <w:rsid w:val="001C448F"/>
    <w:pPr>
      <w:tabs>
        <w:tab w:val="clear" w:pos="1134"/>
      </w:tabs>
      <w:spacing w:before="0" w:after="200" w:line="276" w:lineRule="auto"/>
      <w:ind w:left="708"/>
    </w:pPr>
    <w:rPr>
      <w:rFonts w:asciiTheme="minorHAnsi" w:hAnsiTheme="minorHAnsi"/>
      <w:sz w:val="22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E751-0921-4284-8D33-2B6CD5C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 - VG</cp:lastModifiedBy>
  <cp:revision>2</cp:revision>
  <cp:lastPrinted>2016-03-31T09:27:00Z</cp:lastPrinted>
  <dcterms:created xsi:type="dcterms:W3CDTF">2021-06-13T15:14:00Z</dcterms:created>
  <dcterms:modified xsi:type="dcterms:W3CDTF">2021-06-13T15:14:00Z</dcterms:modified>
</cp:coreProperties>
</file>